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commentsExtensible.xml" ContentType="application/vnd.openxmlformats-officedocument.wordprocessingml.commentsExtensi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firstLine="851"/>
        <w:jc w:val="center"/>
        <w:spacing w:line="240" w:lineRule="auto"/>
        <w:shd w:val="clear" w:color="auto" w:fill="ffffff"/>
        <w:tabs>
          <w:tab w:val="left" w:pos="851" w:leader="none"/>
          <w:tab w:val="left" w:pos="1560" w:leader="none"/>
          <w:tab w:val="left" w:pos="3148" w:leader="none"/>
          <w:tab w:val="left" w:pos="692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Договор подряда № 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851"/>
        <w:jc w:val="center"/>
        <w:spacing w:line="240" w:lineRule="auto"/>
        <w:shd w:val="clear" w:color="auto" w:fill="ffffff"/>
        <w:tabs>
          <w:tab w:val="left" w:pos="851" w:leader="none"/>
          <w:tab w:val="left" w:pos="1560" w:leader="none"/>
          <w:tab w:val="left" w:pos="3148" w:leader="none"/>
          <w:tab w:val="left" w:pos="692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left="0" w:right="0" w:firstLine="0"/>
        <w:spacing w:line="276" w:lineRule="auto"/>
        <w:shd w:val="clear" w:color="auto" w:fill="ffffff"/>
        <w:tabs>
          <w:tab w:val="left" w:pos="709" w:leader="none"/>
          <w:tab w:val="left" w:pos="851" w:leader="none"/>
          <w:tab w:val="right" w:pos="993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г. </w:t>
      </w:r>
      <w:r>
        <w:rPr>
          <w:color w:val="000000"/>
          <w:sz w:val="24"/>
          <w:szCs w:val="24"/>
        </w:rPr>
        <w:t xml:space="preserve">Николаевск-на-Амуре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            </w:t>
      </w:r>
      <w:r>
        <w:rPr>
          <w:color w:val="000000"/>
          <w:sz w:val="24"/>
          <w:szCs w:val="24"/>
        </w:rPr>
        <w:t xml:space="preserve">   «</w:t>
      </w:r>
      <w:r>
        <w:rPr>
          <w:color w:val="000000"/>
          <w:sz w:val="24"/>
          <w:szCs w:val="24"/>
        </w:rPr>
        <w:t xml:space="preserve">___» __________2026</w:t>
      </w:r>
      <w:r>
        <w:rPr>
          <w:color w:val="000000"/>
          <w:sz w:val="24"/>
          <w:szCs w:val="24"/>
        </w:rPr>
        <w:t xml:space="preserve"> г.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851"/>
        <w:spacing w:line="276" w:lineRule="auto"/>
        <w:shd w:val="clear" w:color="auto" w:fill="ffffff"/>
        <w:tabs>
          <w:tab w:val="left" w:pos="851" w:leader="none"/>
          <w:tab w:val="left" w:pos="1560" w:leader="none"/>
          <w:tab w:val="right" w:pos="9639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168"/>
        <w:ind w:left="0" w:right="0" w:firstLine="709"/>
        <w:spacing w:line="276" w:lineRule="auto"/>
        <w:tabs>
          <w:tab w:val="left" w:pos="0" w:leader="none"/>
        </w:tabs>
        <w:rPr>
          <w:color w:val="auto"/>
          <w:highlight w:val="none"/>
        </w:rPr>
      </w:pPr>
      <w:r>
        <w:rPr>
          <w:color w:val="auto"/>
        </w:rPr>
        <w:t xml:space="preserve">Акционерное общество «Дальневосточная генерирующая компания» (АО «ДГК») (далее – «Заказчик</w:t>
      </w:r>
      <w:r>
        <w:rPr>
          <w:color w:val="auto"/>
        </w:rPr>
        <w:t xml:space="preserve">»), в лице директора структурного подразделения «Николаевская ТЭЦ» Кириченко Ильи Владимировича, </w:t>
      </w:r>
      <w:r>
        <w:rPr>
          <w:color w:val="auto"/>
        </w:rPr>
        <w:t xml:space="preserve">действующего на основании доверенности </w:t>
      </w:r>
      <w:r>
        <w:rPr>
          <w:color w:val="auto"/>
        </w:rPr>
        <w:t xml:space="preserve">№ 51/453 от 19.11.2025 г.</w:t>
      </w:r>
      <w:r>
        <w:rPr>
          <w:color w:val="auto"/>
        </w:rPr>
        <w:t xml:space="preserve">, с одной стороны, </w:t>
      </w:r>
      <w:r>
        <w:rPr>
          <w:color w:val="auto"/>
        </w:rPr>
        <w:t xml:space="preserve">и _______________________________________________________</w:t>
      </w:r>
      <w:r>
        <w:rPr>
          <w:color w:val="000000" w:themeColor="text1"/>
        </w:rPr>
        <w:t xml:space="preserve">, (далее - «Подрядчик</w:t>
      </w:r>
      <w:r>
        <w:rPr>
          <w:color w:val="000000" w:themeColor="text1"/>
        </w:rPr>
        <w:t xml:space="preserve">»)</w:t>
      </w:r>
      <w:r>
        <w:rPr>
          <w:color w:val="000000" w:themeColor="text1"/>
        </w:rPr>
        <w:t xml:space="preserve">,</w:t>
      </w:r>
      <w:r>
        <w:rPr>
          <w:color w:val="ff0000"/>
        </w:rPr>
        <w:t xml:space="preserve"> </w:t>
      </w:r>
      <w:r>
        <w:rPr>
          <w:color w:val="000000" w:themeColor="text1"/>
        </w:rPr>
        <w:t xml:space="preserve">в лице ___________________________________, действу</w:t>
      </w:r>
      <w:r>
        <w:rPr>
          <w:color w:val="000000" w:themeColor="text1"/>
        </w:rPr>
        <w:t xml:space="preserve">ющего на основании ____________, с другой стороны, совместно в дальнейшем именуемые «Стороны», а по отдельности – «Сторона», </w:t>
      </w:r>
      <w:r>
        <w:rPr>
          <w:color w:val="auto"/>
        </w:rPr>
        <w:t xml:space="preserve">по результатам проведенной Заказчиком конкурентной процедуры по лоту №</w:t>
      </w:r>
      <w:r>
        <w:rPr>
          <w:color w:val="auto"/>
          <w:u w:val="single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color w:val="auto"/>
        </w:rPr>
        <w:t xml:space="preserve">, и на основании Протокола __________________ от «____» __________________ года,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заключили н</w:t>
      </w:r>
      <w:r>
        <w:rPr>
          <w:color w:val="auto"/>
        </w:rPr>
        <w:t xml:space="preserve">астоящий договор (далее – «Договор») о нижеследующем: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168"/>
        <w:ind w:left="0" w:right="0" w:firstLine="709"/>
        <w:tabs>
          <w:tab w:val="left" w:pos="0" w:leader="none"/>
        </w:tabs>
        <w:rPr>
          <w:color w:val="auto"/>
          <w:sz w:val="10"/>
          <w:szCs w:val="10"/>
        </w:rPr>
      </w:pPr>
      <w:r>
        <w:rPr>
          <w:color w:val="auto"/>
          <w:sz w:val="14"/>
          <w:szCs w:val="14"/>
          <w:highlight w:val="none"/>
        </w:rPr>
      </w:r>
      <w:r>
        <w:rPr>
          <w:color w:val="auto"/>
          <w:sz w:val="10"/>
          <w:szCs w:val="10"/>
        </w:rPr>
      </w:r>
      <w:r>
        <w:rPr>
          <w:color w:val="auto"/>
          <w:sz w:val="10"/>
          <w:szCs w:val="10"/>
        </w:rPr>
      </w:r>
    </w:p>
    <w:p>
      <w:pPr>
        <w:pStyle w:val="1184"/>
        <w:ind w:left="0" w:right="0" w:firstLine="0"/>
        <w:jc w:val="left"/>
        <w:shd w:val="clear" w:color="auto" w:fill="ffffff"/>
        <w:tabs>
          <w:tab w:val="left" w:pos="0" w:leader="none"/>
        </w:tabs>
        <w:rPr>
          <w:b/>
          <w:bCs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Термины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1168"/>
        <w:contextualSpacing/>
        <w:ind w:left="0" w:right="0" w:firstLine="709"/>
        <w:spacing w:line="276" w:lineRule="auto"/>
        <w:tabs>
          <w:tab w:val="left" w:pos="0" w:leader="none"/>
        </w:tabs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  <w:r>
        <w:rPr>
          <w:color w:val="auto"/>
        </w:rPr>
      </w:r>
    </w:p>
    <w:p>
      <w:pPr>
        <w:pStyle w:val="1184"/>
        <w:ind w:left="0" w:right="0" w:firstLine="709"/>
        <w:jc w:val="both"/>
        <w:spacing w:line="276" w:lineRule="auto"/>
        <w:tabs>
          <w:tab w:val="left" w:pos="0" w:leader="none"/>
        </w:tabs>
        <w:rPr>
          <w:spacing w:val="-6"/>
          <w:lang w:eastAsia="en-US"/>
        </w:rPr>
      </w:pPr>
      <w:r>
        <w:rPr>
          <w:b/>
          <w:bCs/>
          <w:spacing w:val="-6"/>
          <w:lang w:eastAsia="en-US"/>
        </w:rPr>
        <w:t xml:space="preserve">«А</w:t>
      </w:r>
      <w:r>
        <w:rPr>
          <w:b/>
          <w:bCs/>
          <w:spacing w:val="-6"/>
          <w:lang w:eastAsia="en-US"/>
        </w:rPr>
        <w:t xml:space="preserve">кт КС-2», «Справка КС-3»</w:t>
      </w:r>
      <w:r>
        <w:rPr>
          <w:spacing w:val="-6"/>
          <w:lang w:eastAsia="en-US"/>
        </w:rPr>
        <w:t xml:space="preserve"> – документы, оформляемые по унифицированным формам                                                                                                                                                                                     </w:t>
      </w:r>
      <w:r>
        <w:rPr>
          <w:spacing w:val="-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pacing w:val="-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pacing w:val="-6"/>
          <w:lang w:eastAsia="en-US"/>
        </w:rPr>
      </w:r>
      <w:r>
        <w:rPr>
          <w:spacing w:val="-6"/>
          <w:lang w:eastAsia="en-US"/>
        </w:rPr>
      </w:r>
    </w:p>
    <w:p>
      <w:pPr>
        <w:pStyle w:val="1184"/>
        <w:ind w:left="0" w:right="0" w:firstLine="709"/>
        <w:jc w:val="both"/>
        <w:spacing w:line="276" w:lineRule="auto"/>
        <w:tabs>
          <w:tab w:val="left" w:pos="0" w:leader="none"/>
        </w:tabs>
        <w:rPr>
          <w:spacing w:val="-6"/>
          <w:lang w:eastAsia="en-US"/>
        </w:rPr>
      </w:pPr>
      <w:r>
        <w:rPr>
          <w:spacing w:val="-6"/>
          <w:lang w:eastAsia="en-US"/>
        </w:rPr>
        <w:t xml:space="preserve">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>
        <w:rPr>
          <w:spacing w:val="-6"/>
          <w:lang w:eastAsia="en-US"/>
        </w:rPr>
      </w:r>
      <w:r>
        <w:rPr>
          <w:spacing w:val="-6"/>
          <w:lang w:eastAsia="en-US"/>
        </w:rPr>
      </w:r>
    </w:p>
    <w:p>
      <w:pPr>
        <w:contextualSpacing/>
        <w:ind w:left="0" w:righ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b/>
          <w:bCs/>
          <w:sz w:val="24"/>
          <w:szCs w:val="24"/>
          <w:lang w:eastAsia="en-US"/>
        </w:rPr>
        <w:t xml:space="preserve">«Акт ОС-3»</w:t>
      </w:r>
      <w:r>
        <w:rPr>
          <w:sz w:val="24"/>
          <w:szCs w:val="24"/>
          <w:lang w:eastAsia="en-US"/>
        </w:rPr>
        <w:t xml:space="preserve"> – документ, оформляемый по унифицированной форме № ОС-3 «А</w:t>
      </w:r>
      <w:r>
        <w:rPr>
          <w:sz w:val="24"/>
          <w:szCs w:val="24"/>
        </w:rPr>
        <w:t xml:space="preserve">кт о приеме-сдаче отремонтированных, реконструированных, модернизированных объектов основных средств», утвержденной Постановлением Госкомстата РФ от 21.01.2003 № 7.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spacing w:val="-2"/>
          <w:lang w:eastAsia="en-US"/>
        </w:rPr>
      </w:pPr>
      <w:r>
        <w:rPr>
          <w:lang w:eastAsia="en-US"/>
        </w:rPr>
        <w:t xml:space="preserve"> </w:t>
      </w:r>
      <w:r>
        <w:rPr>
          <w:b/>
          <w:bCs/>
          <w:spacing w:val="-2"/>
          <w:lang w:eastAsia="en-US"/>
        </w:rPr>
        <w:t xml:space="preserve">«Гарантийный срок»</w:t>
      </w:r>
      <w:r>
        <w:rPr>
          <w:spacing w:val="-2"/>
        </w:rPr>
        <w:t xml:space="preserve"> </w:t>
      </w:r>
      <w:r>
        <w:rPr>
          <w:spacing w:val="-2"/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spacing w:val="-2"/>
          <w:lang w:eastAsia="en-US"/>
        </w:rPr>
        <w:t xml:space="preserve">ора и Применимого права, и Подрядчик обязуется устранять все выявленные Заказчиком недостатки, несоответствия и/или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spacing w:val="-2"/>
          <w:lang w:eastAsia="en-US"/>
        </w:rPr>
      </w:r>
      <w:r>
        <w:rPr>
          <w:spacing w:val="-2"/>
          <w:lang w:eastAsia="en-US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spacing w:val="-2"/>
          <w:lang w:eastAsia="en-US"/>
        </w:rPr>
      </w:pPr>
      <w:r>
        <w:rPr>
          <w:b/>
          <w:bCs/>
          <w:spacing w:val="-2"/>
          <w:lang w:eastAsia="en-US"/>
        </w:rPr>
        <w:t xml:space="preserve"> «Договор»</w:t>
      </w:r>
      <w:r>
        <w:rPr>
          <w:spacing w:val="-2"/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spacing w:val="-2"/>
          <w:lang w:eastAsia="en-US"/>
        </w:rPr>
      </w:r>
      <w:r>
        <w:rPr>
          <w:spacing w:val="-2"/>
          <w:lang w:eastAsia="en-US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lang w:eastAsia="en-US"/>
        </w:rPr>
      </w:pPr>
      <w:r>
        <w:rPr>
          <w:b/>
          <w:bCs/>
          <w:lang w:eastAsia="en-US"/>
        </w:rPr>
        <w:t xml:space="preserve">«Исполнительн</w:t>
      </w:r>
      <w:bookmarkStart w:id="0" w:name="OCRUncertain148"/>
      <w:r>
        <w:rPr>
          <w:b/>
          <w:bCs/>
          <w:lang w:eastAsia="en-US"/>
        </w:rPr>
        <w:t xml:space="preserve">а</w:t>
      </w:r>
      <w:bookmarkEnd w:id="0"/>
      <w:r>
        <w:rPr>
          <w:b/>
          <w:bCs/>
          <w:lang w:eastAsia="en-US"/>
        </w:rPr>
        <w:t xml:space="preserve">я док</w:t>
      </w:r>
      <w:bookmarkStart w:id="1" w:name="OCRUncertain149"/>
      <w:r>
        <w:rPr>
          <w:b/>
          <w:bCs/>
          <w:lang w:eastAsia="en-US"/>
        </w:rPr>
        <w:t xml:space="preserve">у</w:t>
      </w:r>
      <w:bookmarkEnd w:id="1"/>
      <w:r>
        <w:rPr>
          <w:b/>
          <w:bCs/>
          <w:lang w:eastAsia="en-US"/>
        </w:rPr>
        <w:t xml:space="preserve">м</w:t>
      </w:r>
      <w:bookmarkStart w:id="2" w:name="OCRUncertain150"/>
      <w:r>
        <w:rPr>
          <w:b/>
          <w:bCs/>
          <w:lang w:eastAsia="en-US"/>
        </w:rPr>
        <w:t xml:space="preserve">е</w:t>
      </w:r>
      <w:bookmarkEnd w:id="2"/>
      <w:r>
        <w:rPr>
          <w:b/>
          <w:bCs/>
          <w:lang w:eastAsia="en-US"/>
        </w:rPr>
        <w:t xml:space="preserve">нтац</w:t>
      </w:r>
      <w:bookmarkStart w:id="3" w:name="OCRUncertain151"/>
      <w:r>
        <w:rPr>
          <w:b/>
          <w:bCs/>
          <w:lang w:eastAsia="en-US"/>
        </w:rPr>
        <w:t xml:space="preserve">и</w:t>
      </w:r>
      <w:bookmarkEnd w:id="3"/>
      <w:r>
        <w:rPr>
          <w:b/>
          <w:bCs/>
          <w:lang w:eastAsia="en-US"/>
        </w:rPr>
        <w:t xml:space="preserve">я»</w:t>
      </w:r>
      <w:r>
        <w:rPr>
          <w:lang w:eastAsia="en-US"/>
        </w:rPr>
        <w:t xml:space="preserve"> 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lang w:eastAsia="en-US"/>
        </w:rPr>
      </w:r>
      <w:r>
        <w:rPr>
          <w:lang w:eastAsia="en-US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lang w:eastAsia="en-US"/>
        </w:rPr>
      </w:pPr>
      <w:r>
        <w:rPr>
          <w:lang w:eastAsia="en-US"/>
        </w:rPr>
        <w:t xml:space="preserve">К Исполнительной документации относятся:</w:t>
      </w:r>
      <w:r>
        <w:t xml:space="preserve"> </w:t>
      </w:r>
      <w:r>
        <w:rPr>
          <w:lang w:eastAsia="en-US"/>
        </w:rPr>
        <w:tab/>
      </w:r>
      <w:r>
        <w:rPr>
          <w:lang w:eastAsia="en-US"/>
        </w:rPr>
      </w:r>
      <w:r>
        <w:rPr>
          <w:lang w:eastAsia="en-US"/>
        </w:rPr>
      </w:r>
    </w:p>
    <w:p>
      <w:pPr>
        <w:pStyle w:val="1184"/>
        <w:numPr>
          <w:ilvl w:val="0"/>
          <w:numId w:val="44"/>
        </w:numPr>
        <w:contextualSpacing/>
        <w:ind w:left="0" w:right="0" w:firstLine="709"/>
        <w:spacing w:line="276" w:lineRule="auto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общий журнал работ;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84"/>
        <w:numPr>
          <w:ilvl w:val="0"/>
          <w:numId w:val="44"/>
        </w:numPr>
        <w:contextualSpacing/>
        <w:ind w:left="0" w:right="0" w:firstLine="709"/>
        <w:spacing w:line="276" w:lineRule="auto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специальные журналы работ (соответствующие видам выполняемых работ), журналы входного и операционного контроля качества;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84"/>
        <w:numPr>
          <w:ilvl w:val="0"/>
          <w:numId w:val="44"/>
        </w:numPr>
        <w:contextualSpacing/>
        <w:ind w:left="0" w:right="0" w:firstLine="709"/>
        <w:spacing w:line="276" w:lineRule="auto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акт освидетельствования скрытых работ;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84"/>
        <w:numPr>
          <w:ilvl w:val="0"/>
          <w:numId w:val="44"/>
        </w:numPr>
        <w:contextualSpacing/>
        <w:ind w:left="0" w:right="0" w:firstLine="709"/>
        <w:spacing w:line="276" w:lineRule="auto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уточненная ведомость объёма ремонтно-строительных работ;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84"/>
        <w:numPr>
          <w:ilvl w:val="0"/>
          <w:numId w:val="44"/>
        </w:numPr>
        <w:contextualSpacing/>
        <w:ind w:left="0" w:right="0" w:firstLine="709"/>
        <w:spacing w:line="276" w:lineRule="auto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акт приёмки из ремонта здания, сооружения;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84"/>
        <w:numPr>
          <w:ilvl w:val="0"/>
          <w:numId w:val="44"/>
        </w:numPr>
        <w:contextualSpacing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84"/>
        <w:numPr>
          <w:ilvl w:val="0"/>
          <w:numId w:val="44"/>
        </w:numPr>
        <w:contextualSpacing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84"/>
        <w:numPr>
          <w:ilvl w:val="0"/>
          <w:numId w:val="44"/>
        </w:numPr>
        <w:contextualSpacing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УПД на материалы, закупаемые Подрядчиком для использования в процессе ремонта;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highlight w:val="none"/>
          <w:lang w:eastAsia="en-US"/>
        </w:rPr>
      </w:pPr>
      <w:r>
        <w:rPr>
          <w:lang w:eastAsia="en-US"/>
        </w:rPr>
        <w:t xml:space="preserve">Исполнительная документ</w:t>
      </w:r>
      <w:r>
        <w:rPr>
          <w:lang w:eastAsia="en-US"/>
        </w:rPr>
        <w:t xml:space="preserve">ация предъявляется Подрядчиком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highlight w:val="none"/>
          <w:lang w:eastAsia="en-US"/>
        </w:rPr>
      </w:pPr>
      <w:r>
        <w:rPr>
          <w:b/>
          <w:bCs/>
          <w:highlight w:val="none"/>
          <w:lang w:eastAsia="en-US"/>
        </w:rPr>
        <w:t xml:space="preserve">«Коммерческая тайна»</w:t>
      </w:r>
      <w:r>
        <w:rPr>
          <w:highlight w:val="none"/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highlight w:val="none"/>
          <w:lang w:eastAsia="en-US"/>
        </w:rPr>
      </w:pPr>
      <w:r>
        <w:rPr>
          <w:highlight w:val="white"/>
          <w:lang w:eastAsia="en-US"/>
        </w:rPr>
      </w:r>
      <w:r>
        <w:rPr>
          <w:b/>
          <w:sz w:val="24"/>
          <w:szCs w:val="24"/>
          <w:highlight w:val="white"/>
          <w:lang w:eastAsia="en-US"/>
        </w:rPr>
        <w:t xml:space="preserve">«Лимит на непредвиденные работы и затраты»</w:t>
      </w:r>
      <w:r>
        <w:rPr>
          <w:sz w:val="24"/>
          <w:szCs w:val="24"/>
          <w:highlight w:val="white"/>
          <w:lang w:eastAsia="en-US"/>
        </w:rPr>
        <w:t xml:space="preserve"> – резерв средств на работы </w:t>
      </w:r>
      <w:r>
        <w:rPr>
          <w:sz w:val="24"/>
          <w:szCs w:val="24"/>
          <w:highlight w:val="white"/>
          <w:lang w:eastAsia="en-US"/>
        </w:rPr>
        <w:br/>
        <w:t xml:space="preserve">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уточнения условий выполнения Работ.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1184"/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lang w:eastAsia="en-US"/>
        </w:rPr>
      </w:pPr>
      <w:r>
        <w:rPr>
          <w:b/>
          <w:bCs/>
          <w:lang w:eastAsia="en-US"/>
        </w:rPr>
        <w:t xml:space="preserve">«Материально-технические ресурсы»</w:t>
      </w:r>
      <w:r>
        <w:rPr>
          <w:lang w:eastAsia="en-US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</w:t>
      </w:r>
      <w:r>
        <w:rPr>
          <w:lang w:eastAsia="en-US"/>
        </w:rPr>
        <w:t xml:space="preserve">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1184"/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color w:val="000000" w:themeColor="text1"/>
          <w:highlight w:val="white"/>
        </w:rPr>
      </w:pPr>
      <w:r>
        <w:rPr>
          <w:b/>
          <w:bCs/>
          <w:color w:val="000000" w:themeColor="text1"/>
          <w:lang w:eastAsia="en-US"/>
        </w:rPr>
        <w:t xml:space="preserve">«Объект»</w:t>
      </w:r>
      <w:r>
        <w:rPr>
          <w:color w:val="000000" w:themeColor="text1"/>
          <w:lang w:eastAsia="en-US"/>
        </w:rPr>
        <w:t xml:space="preserve"> – Здания и сооружения «</w:t>
      </w:r>
      <w:r>
        <w:rPr>
          <w:rFonts w:ascii="Times New Roman" w:hAnsi="Times New Roman" w:cs="Times New Roman"/>
          <w:strike w:val="0"/>
          <w:sz w:val="24"/>
          <w:szCs w:val="24"/>
          <w:highlight w:val="white"/>
        </w:rPr>
        <w:t xml:space="preserve">Николаевской ТЭЦ», в отношении которых целесообразна самостоятельная приемка.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184"/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spacing w:val="-10"/>
          <w:lang w:eastAsia="en-US"/>
        </w:rPr>
      </w:pPr>
      <w:r>
        <w:rPr>
          <w:b/>
          <w:bCs/>
          <w:spacing w:val="-10"/>
          <w:lang w:eastAsia="en-US"/>
        </w:rPr>
        <w:t xml:space="preserve">«Отказ от Договора» </w:t>
      </w:r>
      <w:r>
        <w:rPr>
          <w:spacing w:val="-10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</w:t>
      </w:r>
      <w:r>
        <w:rPr>
          <w:spacing w:val="-10"/>
          <w:lang w:eastAsia="en-US"/>
        </w:rPr>
        <w:t xml:space="preserve">Договором. </w:t>
      </w:r>
      <w:r>
        <w:rPr>
          <w:spacing w:val="-10"/>
          <w:lang w:eastAsia="en-US"/>
        </w:rPr>
      </w:r>
      <w:r>
        <w:rPr>
          <w:spacing w:val="-10"/>
          <w:lang w:eastAsia="en-US"/>
        </w:rPr>
      </w:r>
    </w:p>
    <w:p>
      <w:pPr>
        <w:pStyle w:val="1000"/>
        <w:contextualSpacing/>
        <w:ind w:firstLine="709"/>
        <w:jc w:val="both"/>
        <w:keepNext w:val="0"/>
        <w:spacing w:before="0" w:after="0" w:line="276" w:lineRule="auto"/>
        <w:widowControl w:val="off"/>
        <w:tabs>
          <w:tab w:val="left" w:pos="0" w:leader="none"/>
        </w:tabs>
        <w:rPr>
          <w:b w:val="0"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«Применимое право»</w:t>
      </w:r>
      <w:r>
        <w:rPr>
          <w:b w:val="0"/>
          <w:sz w:val="24"/>
          <w:szCs w:val="24"/>
          <w:lang w:eastAsia="en-US"/>
        </w:rPr>
        <w:t xml:space="preserve"> – об</w:t>
      </w:r>
      <w:r>
        <w:rPr>
          <w:b w:val="0"/>
          <w:sz w:val="24"/>
          <w:szCs w:val="24"/>
          <w:lang w:eastAsia="en-US"/>
        </w:rPr>
        <w:t xml:space="preserve">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</w:t>
      </w:r>
      <w:r>
        <w:rPr>
          <w:b w:val="0"/>
          <w:sz w:val="24"/>
          <w:szCs w:val="24"/>
          <w:lang w:eastAsia="en-US"/>
        </w:rPr>
        <w:t xml:space="preserve">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</w:t>
      </w:r>
      <w:r>
        <w:rPr>
          <w:b w:val="0"/>
          <w:sz w:val="24"/>
          <w:szCs w:val="24"/>
          <w:lang w:eastAsia="en-US"/>
        </w:rPr>
        <w:t xml:space="preserve">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 и Объекты.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contextualSpacing/>
        <w:ind w:firstLine="709"/>
        <w:keepLines/>
        <w:spacing w:line="276" w:lineRule="auto"/>
        <w:rPr>
          <w:lang w:eastAsia="en-US"/>
        </w:rPr>
      </w:pPr>
      <w:r>
        <w:rPr>
          <w:b/>
          <w:sz w:val="24"/>
          <w:szCs w:val="24"/>
          <w:lang w:eastAsia="en-US"/>
        </w:rPr>
        <w:t xml:space="preserve">«ППР»</w:t>
      </w:r>
      <w:r>
        <w:rPr>
          <w:sz w:val="24"/>
          <w:szCs w:val="24"/>
          <w:lang w:eastAsia="en-US"/>
        </w:rPr>
        <w:t xml:space="preserve"> – проект производства работ. </w:t>
      </w:r>
      <w:r>
        <w:rPr>
          <w:lang w:eastAsia="en-US"/>
        </w:rPr>
      </w:r>
      <w:r>
        <w:rPr>
          <w:lang w:eastAsia="en-US"/>
        </w:rPr>
      </w:r>
    </w:p>
    <w:p>
      <w:pPr>
        <w:ind w:left="0" w:right="0" w:firstLine="709"/>
        <w:spacing w:line="276" w:lineRule="auto"/>
        <w:widowControl w:val="off"/>
        <w:tabs>
          <w:tab w:val="left" w:pos="567" w:leader="none"/>
        </w:tabs>
        <w:rPr>
          <w:b/>
          <w:sz w:val="24"/>
          <w:szCs w:val="24"/>
          <w:highlight w:val="white"/>
        </w:rPr>
        <w:outlineLvl w:val="2"/>
      </w:pPr>
      <w:r>
        <w:rPr>
          <w:b/>
          <w:sz w:val="24"/>
          <w:szCs w:val="24"/>
          <w:highlight w:val="white"/>
          <w:lang w:eastAsia="en-US"/>
        </w:rPr>
        <w:t xml:space="preserve">«</w:t>
      </w:r>
      <w:r>
        <w:rPr>
          <w:b/>
          <w:sz w:val="24"/>
          <w:szCs w:val="24"/>
          <w:highlight w:val="white"/>
          <w:lang w:eastAsia="en-US"/>
        </w:rPr>
        <w:t xml:space="preserve">Работы»</w:t>
      </w:r>
      <w:r>
        <w:rPr>
          <w:sz w:val="24"/>
          <w:szCs w:val="24"/>
          <w:highlight w:val="white"/>
          <w:lang w:eastAsia="en-US"/>
        </w:rPr>
        <w:t xml:space="preserve"> – все производимые / выполняемые Подрядчиком на свой риск, с использованием своих и / или привлеченных за свой счет сил и средств (материалов,  инструмента), Дав</w:t>
      </w:r>
      <w:r>
        <w:rPr>
          <w:sz w:val="24"/>
          <w:szCs w:val="24"/>
          <w:highlight w:val="white"/>
          <w:lang w:eastAsia="en-US"/>
        </w:rPr>
        <w:t xml:space="preserve">альческих материалов и запасных частей Заказчика в соответствии с условиями Договора,  Рабочей документацией и Применимым правом работы, в том числе  строительно-монтажные, пусконаладочные и прочие неразрывно связанные с ними работы,  работы по исправлению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выявленных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недостатков,</w:t>
      </w:r>
      <w:r>
        <w:rPr>
          <w:sz w:val="24"/>
          <w:szCs w:val="24"/>
          <w:highlight w:val="white"/>
        </w:rPr>
        <w:t xml:space="preserve"> несоответствий и / или дефектов в результате работ, а также любые иные работы (в том числе приобретение Материально-технических ресурсов), необходимые для выполнения Подрядчиком своих обязательств по Договору, независимо от их прямого указания в Договоре.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708"/>
        <w:spacing w:line="276" w:lineRule="auto"/>
        <w:widowControl w:val="off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white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firstLine="709"/>
        <w:spacing w:line="276" w:lineRule="auto"/>
        <w:widowControl w:val="off"/>
        <w:tabs>
          <w:tab w:val="left" w:pos="0" w:leader="none"/>
        </w:tabs>
        <w:rPr>
          <w:lang w:eastAsia="en-US"/>
        </w:rPr>
      </w:pPr>
      <w:r>
        <w:rPr>
          <w:b/>
          <w:sz w:val="24"/>
          <w:szCs w:val="24"/>
          <w:lang w:eastAsia="en-US"/>
        </w:rPr>
        <w:t xml:space="preserve">«Рабочий день</w:t>
      </w:r>
      <w:r>
        <w:rPr>
          <w:sz w:val="24"/>
          <w:szCs w:val="24"/>
          <w:lang w:eastAsia="en-US"/>
        </w:rPr>
        <w:t xml:space="preserve">» – день, который в соответствии с Применимым правом, является рабочим днем в Российской Федерации.</w:t>
      </w:r>
      <w:r>
        <w:rPr>
          <w:lang w:eastAsia="en-US"/>
        </w:rPr>
      </w:r>
      <w:r>
        <w:rPr>
          <w:lang w:eastAsia="en-US"/>
        </w:rPr>
      </w:r>
    </w:p>
    <w:p>
      <w:pPr>
        <w:ind w:firstLine="708"/>
        <w:jc w:val="both"/>
        <w:spacing w:line="276" w:lineRule="auto"/>
        <w:widowControl w:val="off"/>
        <w:tabs>
          <w:tab w:val="left" w:pos="567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«Результат работ» </w:t>
      </w:r>
      <w:r>
        <w:rPr>
          <w:sz w:val="24"/>
          <w:szCs w:val="24"/>
          <w:highlight w:val="white"/>
        </w:rPr>
        <w:t xml:space="preserve">– 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р</w:t>
      </w: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м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р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ы</w:t>
      </w:r>
      <w:r>
        <w:rPr>
          <w:sz w:val="24"/>
          <w:szCs w:val="24"/>
          <w:highlight w:val="white"/>
        </w:rPr>
        <w:t xml:space="preserve">й</w:t>
      </w:r>
      <w:r>
        <w:rPr>
          <w:sz w:val="24"/>
          <w:szCs w:val="24"/>
          <w:highlight w:val="white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Объект, принятый Заказчиком в Гарантийную эксплуатацию по Акту КС-</w:t>
      </w:r>
      <w:r>
        <w:rPr>
          <w:b w:val="0"/>
          <w:sz w:val="24"/>
          <w:szCs w:val="24"/>
          <w:lang w:val="ru-RU" w:eastAsia="en-US"/>
        </w:rPr>
        <w:t xml:space="preserve">2</w:t>
      </w:r>
      <w:r>
        <w:rPr>
          <w:b w:val="0"/>
          <w:sz w:val="24"/>
          <w:szCs w:val="24"/>
          <w:lang w:val="ru-RU" w:eastAsia="en-US"/>
        </w:rPr>
        <w:t xml:space="preserve"> соответствующий требованиям</w:t>
      </w:r>
      <w:r>
        <w:rPr>
          <w:b w:val="0"/>
          <w:sz w:val="24"/>
          <w:szCs w:val="24"/>
          <w:lang w:val="ru-RU" w:eastAsia="en-US"/>
        </w:rPr>
        <w:t xml:space="preserve">, изложенным в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Техническо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задании </w:t>
      </w:r>
      <w:r>
        <w:rPr>
          <w:b w:val="0"/>
          <w:sz w:val="24"/>
          <w:szCs w:val="24"/>
          <w:lang w:val="ru-RU" w:eastAsia="en-US"/>
        </w:rPr>
        <w:t xml:space="preserve">(Приложение № 1 к Договору)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spacing w:line="276" w:lineRule="auto"/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highlight w:val="white"/>
          <w:lang w:eastAsia="en-US"/>
        </w:rPr>
        <w:t xml:space="preserve">«СМП»</w:t>
      </w:r>
      <w:r>
        <w:rPr>
          <w:sz w:val="24"/>
          <w:szCs w:val="24"/>
          <w:highlight w:val="white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left="0" w:right="0" w:firstLine="709"/>
        <w:spacing w:line="276" w:lineRule="auto"/>
        <w:widowControl w:val="off"/>
        <w:tabs>
          <w:tab w:val="left" w:pos="567" w:leader="none"/>
        </w:tabs>
        <w:rPr>
          <w:sz w:val="24"/>
          <w:szCs w:val="24"/>
          <w:highlight w:val="white"/>
        </w:rPr>
        <w:outlineLvl w:val="2"/>
      </w:pPr>
      <w:r>
        <w:rPr>
          <w:b/>
          <w:sz w:val="24"/>
          <w:szCs w:val="24"/>
          <w:highlight w:val="white"/>
          <w:lang w:eastAsia="en-US"/>
        </w:rPr>
        <w:t xml:space="preserve">«Скрытые работы»</w:t>
      </w:r>
      <w:r>
        <w:rPr>
          <w:sz w:val="24"/>
          <w:szCs w:val="24"/>
          <w:highlight w:val="white"/>
          <w:lang w:eastAsia="en-US"/>
        </w:rPr>
        <w:t xml:space="preserve"> – отдельные виды работ, оказывающие влияние на </w:t>
      </w:r>
      <w:r>
        <w:rPr>
          <w:sz w:val="24"/>
          <w:szCs w:val="24"/>
          <w:highlight w:val="white"/>
          <w:lang w:eastAsia="en-US"/>
        </w:rPr>
        <w:t xml:space="preserve">безопасность объекта реконструкции, которые недоступны для визуальной оценки при сдаче Подрядчиком Результата Работ Заказчику, поскольку в соответствии с технологией контроль их качества и точность невозможно определить после выполнения последующих Работ.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8"/>
        <w:spacing w:line="276" w:lineRule="auto"/>
        <w:widowControl w:val="off"/>
        <w:tabs>
          <w:tab w:val="left" w:pos="567" w:leader="none"/>
        </w:tabs>
        <w:rPr>
          <w:sz w:val="24"/>
          <w:szCs w:val="24"/>
          <w:highlight w:val="white"/>
        </w:rPr>
        <w:outlineLvl w:val="2"/>
      </w:pPr>
      <w:r>
        <w:rPr>
          <w:sz w:val="24"/>
          <w:szCs w:val="24"/>
          <w:highlight w:val="white"/>
          <w:lang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line="276" w:lineRule="auto"/>
        <w:widowControl w:val="off"/>
        <w:tabs>
          <w:tab w:val="left" w:pos="567" w:leader="none"/>
        </w:tabs>
        <w:rPr>
          <w:sz w:val="24"/>
          <w:szCs w:val="24"/>
          <w:highlight w:val="none"/>
          <w:lang w:eastAsia="en-US"/>
        </w:rPr>
        <w:outlineLvl w:val="2"/>
      </w:pPr>
      <w:r>
        <w:rPr>
          <w:b/>
          <w:sz w:val="24"/>
          <w:highlight w:val="white"/>
          <w:lang w:eastAsia="en-US"/>
        </w:rPr>
        <w:t xml:space="preserve"> </w:t>
      </w:r>
      <w:r>
        <w:rPr>
          <w:b/>
          <w:sz w:val="24"/>
          <w:highlight w:val="white"/>
          <w:lang w:eastAsia="en-US"/>
        </w:rPr>
        <w:t xml:space="preserve">«Субподрядчик»</w:t>
      </w:r>
      <w:r>
        <w:rPr>
          <w:sz w:val="24"/>
          <w:highlight w:val="white"/>
          <w:lang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pStyle w:val="1000"/>
        <w:contextualSpacing/>
        <w:ind w:firstLine="709"/>
        <w:jc w:val="both"/>
        <w:keepNext w:val="0"/>
        <w:spacing w:before="0" w:after="0" w:line="276" w:lineRule="auto"/>
        <w:widowControl w:val="off"/>
        <w:tabs>
          <w:tab w:val="left" w:pos="0" w:leader="none"/>
        </w:tabs>
        <w:rPr>
          <w:b w:val="0"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«Техниче</w:t>
      </w:r>
      <w:r>
        <w:rPr>
          <w:bCs/>
          <w:sz w:val="24"/>
          <w:szCs w:val="24"/>
          <w:lang w:eastAsia="en-US"/>
        </w:rPr>
        <w:t xml:space="preserve">ское задание»</w:t>
      </w:r>
      <w:r>
        <w:rPr>
          <w:b w:val="0"/>
          <w:sz w:val="24"/>
          <w:szCs w:val="24"/>
          <w:lang w:eastAsia="en-US"/>
        </w:rPr>
        <w:t xml:space="preserve"> – документ, содержащий условия выполнения работ, требования к качеству, безопасности и результатов выполняемых работ, объем и состав Работ по Договору, ведомость объемов работ, ведомость материалов.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ind w:left="0" w:right="0" w:firstLine="709"/>
        <w:spacing w:line="276" w:lineRule="auto"/>
        <w:tabs>
          <w:tab w:val="left" w:pos="567" w:leader="none"/>
          <w:tab w:val="left" w:pos="851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bCs/>
          <w:highlight w:val="white"/>
          <w:shd w:val="clear" w:color="auto" w:fill="ffffff"/>
        </w:rPr>
        <w:t xml:space="preserve">«</w:t>
      </w:r>
      <w:r>
        <w:rPr>
          <w:b/>
          <w:bCs/>
          <w:sz w:val="24"/>
          <w:szCs w:val="24"/>
          <w:highlight w:val="white"/>
          <w:shd w:val="clear" w:color="auto" w:fill="ffffff"/>
        </w:rPr>
        <w:t xml:space="preserve">Универсальный передаточный документ (УПД)»</w:t>
      </w:r>
      <w:r>
        <w:rPr>
          <w:sz w:val="24"/>
          <w:szCs w:val="24"/>
          <w:highlight w:val="white"/>
          <w:shd w:val="clear" w:color="auto" w:fill="ffffff"/>
        </w:rPr>
        <w:t xml:space="preserve"> – бухгалтерский инструмент, который используют для учёта финансово-хозяйственной деятельности. Служит подтверждением расходов и вычетов по НДС для товаров и услуг. Объединяет функции счёта-фактуры и первичных документов, связанных с</w:t>
      </w:r>
      <w:r>
        <w:rPr>
          <w:sz w:val="24"/>
          <w:szCs w:val="24"/>
          <w:highlight w:val="white"/>
          <w:shd w:val="clear" w:color="auto" w:fill="ffffff"/>
        </w:rPr>
        <w:t xml:space="preserve"> конкретной сделкой. В зависимости от ситуации и способа заполнения, он может быть и счётом-фактурой, и накладной одновременно, либо просто выполнять функцию накладной. Обновлённая форма утверждена Приказом ФНС России №ЕД-7-26/1032@ от 15 ноября 2024 года.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00"/>
        <w:contextualSpacing/>
        <w:ind w:firstLine="709"/>
        <w:jc w:val="both"/>
        <w:keepNext w:val="0"/>
        <w:spacing w:before="0" w:after="0" w:line="276" w:lineRule="auto"/>
        <w:widowControl w:val="off"/>
        <w:tabs>
          <w:tab w:val="left" w:pos="0" w:leader="none"/>
        </w:tabs>
        <w:rPr>
          <w:b w:val="0"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«Цена Договора предельная»</w:t>
      </w:r>
      <w:r>
        <w:rPr>
          <w:b w:val="0"/>
          <w:sz w:val="24"/>
          <w:szCs w:val="24"/>
          <w:lang w:eastAsia="en-US"/>
        </w:rPr>
        <w:t xml:space="preserve"> – определяемая в соответствии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</w:t>
      </w:r>
      <w:r>
        <w:rPr>
          <w:b w:val="0"/>
          <w:sz w:val="24"/>
          <w:szCs w:val="24"/>
          <w:lang w:eastAsia="en-US"/>
        </w:rPr>
        <w:t xml:space="preserve">жек Подрядчика и причитающееся ему вознаграждение, а также инфляционные </w:t>
      </w:r>
      <w:r>
        <w:rPr>
          <w:b w:val="0"/>
          <w:sz w:val="24"/>
          <w:szCs w:val="24"/>
          <w:lang w:eastAsia="en-US"/>
        </w:rPr>
        <w:t xml:space="preserve">риски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 xml:space="preserve">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 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1000"/>
        <w:contextualSpacing/>
        <w:ind w:left="0" w:right="0" w:firstLine="709"/>
        <w:jc w:val="both"/>
        <w:keepNext w:val="0"/>
        <w:spacing w:before="0" w:after="0"/>
        <w:widowControl w:val="off"/>
        <w:tabs>
          <w:tab w:val="left" w:pos="0" w:leader="none"/>
        </w:tabs>
        <w:rPr>
          <w:b w:val="0"/>
          <w:bCs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ind w:left="0" w:right="0" w:firstLine="709"/>
        <w:tabs>
          <w:tab w:val="left" w:pos="0" w:leader="none"/>
        </w:tabs>
        <w:rPr>
          <w:sz w:val="10"/>
          <w:szCs w:val="10"/>
        </w:rPr>
      </w:pPr>
      <w:r>
        <w:rPr>
          <w:sz w:val="14"/>
          <w:szCs w:val="14"/>
          <w:lang w:eastAsia="en-US"/>
        </w:rPr>
      </w: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pStyle w:val="1184"/>
        <w:numPr>
          <w:ilvl w:val="0"/>
          <w:numId w:val="3"/>
        </w:numPr>
        <w:ind w:left="0" w:right="0" w:firstLine="0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bookmarkStart w:id="4" w:name="_Ref361410951"/>
      <w:r>
        <w:rPr>
          <w:b/>
          <w:bCs/>
        </w:rPr>
      </w:r>
      <w:bookmarkEnd w:id="4"/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contextualSpacing/>
        <w:ind w:left="0" w:right="0" w:firstLine="709"/>
        <w:jc w:val="both"/>
        <w:keepLines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1.1. Подрядчик обязуется по заданию Заказчика в соответствии с Техническим заданием (Приложение № 1 к Договору) выполнить  работы по ремонту зданий и сооружений Николаевской ТЭЦ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sz w:val="24"/>
          <w:szCs w:val="24"/>
        </w:rPr>
        <w:t xml:space="preserve">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right="0" w:firstLine="709"/>
        <w:jc w:val="both"/>
        <w:keepLines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1.2. </w:t>
      </w:r>
      <w:r>
        <w:rPr>
          <w:bCs/>
          <w:sz w:val="24"/>
          <w:szCs w:val="24"/>
        </w:rPr>
        <w:t xml:space="preserve">Объем и состав Работ по Договору определяется</w:t>
      </w:r>
      <w:r>
        <w:t xml:space="preserve"> </w:t>
      </w:r>
      <w:r>
        <w:rPr>
          <w:bCs/>
          <w:sz w:val="24"/>
          <w:szCs w:val="24"/>
        </w:rPr>
        <w:t xml:space="preserve">в соот</w:t>
      </w:r>
      <w:r>
        <w:rPr>
          <w:bCs/>
          <w:sz w:val="24"/>
          <w:szCs w:val="24"/>
        </w:rPr>
        <w:t xml:space="preserve">ветствии с Ведомостью объемов раб</w:t>
      </w:r>
      <w:r>
        <w:rPr>
          <w:bCs/>
          <w:sz w:val="24"/>
          <w:szCs w:val="24"/>
          <w:highlight w:val="white"/>
        </w:rPr>
        <w:t xml:space="preserve">от</w:t>
      </w:r>
      <w:r>
        <w:rPr>
          <w:bCs/>
          <w:sz w:val="24"/>
          <w:szCs w:val="24"/>
          <w:highlight w:val="white"/>
        </w:rPr>
        <w:t xml:space="preserve"> (Приложение №1.1 ) </w:t>
      </w:r>
      <w:r>
        <w:rPr>
          <w:bCs/>
          <w:sz w:val="24"/>
          <w:szCs w:val="24"/>
          <w:highlight w:val="white"/>
        </w:rPr>
        <w:t xml:space="preserve">к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Т</w:t>
      </w:r>
      <w:r>
        <w:rPr>
          <w:bCs/>
          <w:sz w:val="24"/>
          <w:szCs w:val="24"/>
        </w:rPr>
        <w:t xml:space="preserve">ехническому заданию (Приложение №1 к Договору).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right="0" w:firstLine="709"/>
        <w:jc w:val="both"/>
        <w:keepLines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1.3. </w:t>
      </w:r>
      <w:r>
        <w:rPr>
          <w:bCs/>
          <w:sz w:val="24"/>
          <w:szCs w:val="24"/>
        </w:rPr>
        <w:t xml:space="preserve">Работы по Договору выполняются для нужд </w:t>
      </w:r>
      <w:r>
        <w:rPr>
          <w:bCs/>
          <w:sz w:val="24"/>
          <w:szCs w:val="24"/>
        </w:rPr>
        <w:t xml:space="preserve">структурного подразделения Заказчика </w:t>
      </w:r>
      <w:r>
        <w:rPr>
          <w:bCs/>
          <w:sz w:val="24"/>
          <w:szCs w:val="24"/>
        </w:rPr>
        <w:t xml:space="preserve">«Николаевская ТЭЦ».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right="0" w:firstLine="709"/>
        <w:jc w:val="both"/>
        <w:keepLines/>
        <w:spacing w:line="276" w:lineRule="auto"/>
        <w:shd w:val="clear" w:color="auto" w:fill="ffffff"/>
        <w:tabs>
          <w:tab w:val="left" w:pos="0" w:leader="none"/>
          <w:tab w:val="left" w:pos="1134" w:leader="none"/>
        </w:tabs>
        <w:rPr>
          <w:sz w:val="24"/>
          <w:szCs w:val="24"/>
        </w:rPr>
        <w:suppressLineNumbers w:val="0"/>
      </w:pPr>
      <w:r>
        <w:rPr>
          <w:bCs/>
          <w:sz w:val="24"/>
          <w:szCs w:val="24"/>
        </w:rPr>
      </w:r>
      <w:r>
        <w:rPr>
          <w:sz w:val="24"/>
          <w:szCs w:val="24"/>
        </w:rPr>
        <w:t xml:space="preserve">1.4. </w:t>
      </w:r>
      <w:r>
        <w:rPr>
          <w:sz w:val="24"/>
          <w:szCs w:val="24"/>
        </w:rPr>
        <w:t xml:space="preserve">Ме</w:t>
      </w:r>
      <w:r>
        <w:rPr>
          <w:bCs/>
          <w:sz w:val="24"/>
          <w:szCs w:val="24"/>
        </w:rPr>
        <w:t xml:space="preserve">сто выполнения Работ</w:t>
      </w:r>
      <w:r>
        <w:rPr>
          <w:sz w:val="24"/>
          <w:szCs w:val="24"/>
        </w:rPr>
        <w:t xml:space="preserve">: г. Николаевск-на-Амуре, ул.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Невельского, 24, территория Николаевская ТЭЦ.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right="0" w:firstLine="709"/>
        <w:jc w:val="both"/>
        <w:keepLines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1.5. Работы </w:t>
      </w:r>
      <w:r>
        <w:rPr>
          <w:sz w:val="24"/>
          <w:szCs w:val="24"/>
        </w:rPr>
        <w:t xml:space="preserve">выполняются Подрядчиком в соотношении с графиком производства работ (Приложение №11 к Договору) </w:t>
      </w:r>
      <w:r>
        <w:rPr>
          <w:sz w:val="24"/>
          <w:szCs w:val="24"/>
        </w:rPr>
        <w:t xml:space="preserve"> в рамках </w:t>
      </w:r>
      <w:r>
        <w:rPr>
          <w:sz w:val="24"/>
          <w:szCs w:val="24"/>
        </w:rPr>
        <w:t xml:space="preserve">общего срока выполнения работ: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keepLines/>
        <w:spacing w:line="276" w:lineRule="auto"/>
        <w:shd w:val="clear" w:color="auto" w:fill="ffffff"/>
        <w:tabs>
          <w:tab w:val="left" w:pos="0" w:leader="none"/>
          <w:tab w:val="left" w:pos="709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1.5.1. начало выполнения Рабо</w:t>
      </w:r>
      <w:r>
        <w:rPr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: </w:t>
      </w:r>
      <w:r>
        <w:rPr>
          <w:sz w:val="24"/>
          <w:szCs w:val="24"/>
          <w:highlight w:val="white"/>
        </w:rPr>
        <w:t xml:space="preserve">с даты заключения Договора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right="0" w:firstLine="709"/>
        <w:jc w:val="both"/>
        <w:keepLines/>
        <w:spacing w:line="276" w:lineRule="auto"/>
        <w:shd w:val="clear" w:color="auto" w:fill="ffffff"/>
        <w:tabs>
          <w:tab w:val="left" w:pos="0" w:leader="none"/>
          <w:tab w:val="left" w:pos="709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  <w:t xml:space="preserve">1.5.2</w:t>
      </w:r>
      <w:r>
        <w:rPr>
          <w:sz w:val="24"/>
          <w:szCs w:val="24"/>
        </w:rPr>
        <w:t xml:space="preserve">. окончание выполнения Работ</w:t>
      </w:r>
      <w:r>
        <w:rPr>
          <w:sz w:val="24"/>
          <w:szCs w:val="24"/>
          <w:highlight w:val="white"/>
        </w:rPr>
        <w:t xml:space="preserve">: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ч</w:t>
      </w: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8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(восьми</w:t>
      </w:r>
      <w:r>
        <w:rPr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м</w:t>
      </w: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с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ц</w:t>
      </w: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ы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к</w:t>
      </w:r>
      <w:r>
        <w:rPr>
          <w:sz w:val="24"/>
          <w:szCs w:val="24"/>
          <w:highlight w:val="white"/>
        </w:rPr>
        <w:t xml:space="preserve">л</w:t>
      </w:r>
      <w:r>
        <w:rPr>
          <w:sz w:val="24"/>
          <w:szCs w:val="24"/>
          <w:highlight w:val="white"/>
        </w:rPr>
        <w:t xml:space="preserve">ю</w:t>
      </w:r>
      <w:r>
        <w:rPr>
          <w:sz w:val="24"/>
          <w:szCs w:val="24"/>
          <w:highlight w:val="white"/>
        </w:rPr>
        <w:t xml:space="preserve">ч</w:t>
      </w: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г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pacing w:val="-6"/>
          <w:sz w:val="10"/>
          <w:szCs w:val="10"/>
        </w:rPr>
      </w:pPr>
      <w:r>
        <w:rPr>
          <w:spacing w:val="-6"/>
          <w:sz w:val="14"/>
          <w:szCs w:val="14"/>
        </w:rPr>
      </w:r>
      <w:r>
        <w:rPr>
          <w:spacing w:val="-6"/>
          <w:sz w:val="10"/>
          <w:szCs w:val="10"/>
        </w:rPr>
      </w:r>
      <w:r>
        <w:rPr>
          <w:spacing w:val="-6"/>
          <w:sz w:val="10"/>
          <w:szCs w:val="10"/>
        </w:rPr>
      </w:r>
    </w:p>
    <w:p>
      <w:pPr>
        <w:pStyle w:val="1184"/>
        <w:numPr>
          <w:ilvl w:val="0"/>
          <w:numId w:val="17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Права и обязанности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pStyle w:val="1184"/>
        <w:numPr>
          <w:ilvl w:val="1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  <w:u w:val="single"/>
        </w:rPr>
        <w:t xml:space="preserve">Заказчик обязан</w:t>
      </w:r>
      <w:r>
        <w:rPr>
          <w:b/>
          <w:bCs/>
        </w:rPr>
        <w:t xml:space="preserve">: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bCs/>
        </w:rPr>
        <w:t xml:space="preserve"> В течении 3 (трех) рабоч</w:t>
      </w:r>
      <w:r>
        <w:rPr>
          <w:bCs/>
        </w:rPr>
        <w:t xml:space="preserve">их дней с даты вступления Договора в силу, но не ранее получения соответствующего письменного запроса Подрядчика передать место/помещение для складирования Материально-технических ресурсов по соответствующему акту сдачи-приемки (Приложение № 3 к Договору).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rFonts w:ascii="Times New Roman" w:hAnsi="Times New Roman"/>
          <w:sz w:val="24"/>
          <w:szCs w:val="24"/>
        </w:rPr>
        <w:t xml:space="preserve">При наличии технической возможности и соответствующих ресурсов обеспечить Подрядчика коммунальным</w:t>
      </w:r>
      <w:r>
        <w:rPr>
          <w:rFonts w:ascii="Times New Roman" w:hAnsi="Times New Roman"/>
          <w:sz w:val="24"/>
          <w:szCs w:val="24"/>
        </w:rPr>
        <w:t xml:space="preserve">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заданием (Приложение № 1 к Договору). 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Принять и оплатить выполненные Подрядчиком Работы на условиях, по цене и в сроки, предусмотренные Договором.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Производить освидетельствование (приемку) Скрытых работ по Акту освидетельствования скрытых работ</w:t>
      </w:r>
      <w:r>
        <w:t xml:space="preserve">, по письменному запросу Подрядчика.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Выполнять иные обязанности, предусмотренные Договором.</w:t>
      </w:r>
      <w:r>
        <w:rPr>
          <w:sz w:val="14"/>
          <w:szCs w:val="14"/>
          <w:highlight w:val="none"/>
        </w:rPr>
      </w:r>
      <w:r/>
    </w:p>
    <w:p>
      <w:pPr>
        <w:ind w:left="0" w:right="0" w:firstLine="0"/>
        <w:jc w:val="left"/>
        <w:spacing w:line="276" w:lineRule="auto"/>
        <w:shd w:val="clear" w:color="auto" w:fill="ffffff"/>
        <w:tabs>
          <w:tab w:val="left" w:pos="0" w:leader="none"/>
        </w:tabs>
        <w:rPr>
          <w:b/>
          <w:bCs/>
          <w:sz w:val="6"/>
          <w:szCs w:val="6"/>
        </w:rPr>
      </w:pPr>
      <w:r>
        <w:rPr>
          <w:b/>
          <w:bCs/>
          <w:sz w:val="6"/>
          <w:szCs w:val="6"/>
          <w:highlight w:val="none"/>
        </w:rPr>
      </w:r>
      <w:r>
        <w:rPr>
          <w:b/>
          <w:bCs/>
          <w:sz w:val="6"/>
          <w:szCs w:val="6"/>
        </w:rPr>
      </w:r>
      <w:r>
        <w:rPr>
          <w:b/>
          <w:bCs/>
          <w:sz w:val="6"/>
          <w:szCs w:val="6"/>
        </w:rPr>
      </w:r>
    </w:p>
    <w:p>
      <w:pPr>
        <w:pStyle w:val="1184"/>
        <w:numPr>
          <w:ilvl w:val="1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  <w:u w:val="single"/>
        </w:rPr>
        <w:t xml:space="preserve">Заказчик имеет право</w:t>
      </w:r>
      <w:r>
        <w:rPr>
          <w:b/>
          <w:bCs/>
        </w:rPr>
        <w:t xml:space="preserve">: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Самостоятельно или с привлечением третьих лиц осуществлять контроль и надзор за ходом и качеством выполняемых Подрядчиком и Субподря</w:t>
      </w:r>
      <w:r>
        <w:t xml:space="preserve">дчиками по Договору ремонтных Работ, за соблюдением сроков и качества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Круглосуточно осуществлять доступ к месту производства Работ, к месту/помещению для складирования Материально-технических ресурсов. В случае предоставления Подрядчику отдельного помещения для складирования Материально-</w:t>
      </w:r>
      <w:r>
        <w:t xml:space="preserve">технических ресурсов, осуществлять осмотр такого помещения по первому требованию и в присутствии представителя Подрядчика. 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11" w:name="_Ref361334652"/>
      <w: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</w:t>
      </w:r>
      <w:r>
        <w:t xml:space="preserve">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и/или качества выполнения Работ, Применимого права, до устранения таких нарушени</w:t>
      </w:r>
      <w:r>
        <w:t xml:space="preserve">й или их последствий, устанавливать сроки устранения таких нарушений. При этом Заказчик не будет считаться просрочившим и/или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1"/>
      <w:r>
        <w:t xml:space="preserve"> </w:t>
      </w:r>
      <w:r/>
    </w:p>
    <w:p>
      <w:pPr>
        <w:pStyle w:val="1228"/>
        <w:contextualSpacing/>
        <w:ind w:left="0" w:right="0" w:firstLine="709"/>
        <w:jc w:val="both"/>
        <w:spacing w:before="0" w:after="0" w:line="276" w:lineRule="auto"/>
        <w:shd w:val="clear" w:color="auto" w:fill="ffffff"/>
        <w:tabs>
          <w:tab w:val="left" w:pos="1418" w:leader="none"/>
        </w:tabs>
      </w:pPr>
      <w:r>
        <w:t xml:space="preserve">2.2.4.  </w:t>
      </w:r>
      <w:bookmarkStart w:id="12" w:name="_Ref361334468"/>
      <w:r>
        <w:t xml:space="preserve">Изымать пропуска и не допускать на территорию Заказчика работников Подрядчика и/или привлеченных им Субподрядчико</w:t>
      </w:r>
      <w: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2"/>
      <w:r>
        <w:t xml:space="preserve"> </w:t>
      </w:r>
      <w:r>
        <w:rPr>
          <w:bCs/>
        </w:rPr>
      </w:r>
      <w:r/>
    </w:p>
    <w:p>
      <w:pPr>
        <w:pStyle w:val="1228"/>
        <w:contextualSpacing/>
        <w:ind w:left="0" w:firstLine="0"/>
        <w:jc w:val="both"/>
        <w:spacing w:before="0" w:after="0" w:line="276" w:lineRule="auto"/>
        <w:shd w:val="clear" w:color="auto" w:fill="ffffff"/>
        <w:tabs>
          <w:tab w:val="left" w:pos="709" w:leader="none"/>
          <w:tab w:val="left" w:pos="709" w:leader="none"/>
        </w:tabs>
      </w:pPr>
      <w:r>
        <w:tab/>
        <w:t xml:space="preserve">2.2.5. </w:t>
      </w:r>
      <w:r>
        <w:rPr>
          <w:bCs/>
        </w:rPr>
        <w:t xml:space="preserve">Вносить изменения в Техническое задание</w:t>
      </w:r>
      <w:r>
        <w:t xml:space="preserve"> и объем работ (увеличить и/или уменьшить) по Договору, </w:t>
      </w:r>
      <w:r>
        <w:rPr>
          <w:bCs/>
        </w:rPr>
        <w:t xml:space="preserve">при условии, если вызываемые этим дополнительные работы не меняют характера предусмотренных в Договоре Работ таким образом, что выполнение ука</w:t>
      </w:r>
      <w:r>
        <w:rPr>
          <w:bCs/>
        </w:rPr>
        <w:t xml:space="preserve">заний Заказчика потребовало бы от Подрядчика получения отсутствующих у него допусков, разрешений и/или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r/>
    </w:p>
    <w:p>
      <w:pPr>
        <w:pStyle w:val="1228"/>
        <w:contextualSpacing/>
        <w:ind w:left="0" w:right="0" w:firstLine="709"/>
        <w:jc w:val="both"/>
        <w:spacing w:before="0" w:after="0" w:line="276" w:lineRule="auto"/>
        <w:shd w:val="clear" w:color="auto" w:fill="ffffff"/>
        <w:tabs>
          <w:tab w:val="left" w:pos="709" w:leader="none"/>
          <w:tab w:val="left" w:pos="709" w:leader="none"/>
        </w:tabs>
      </w:pPr>
      <w:r>
        <w:rPr>
          <w:bCs/>
        </w:rPr>
        <w:t xml:space="preserve">2.2.6. </w:t>
      </w:r>
      <w: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/>
    </w:p>
    <w:p>
      <w:pPr>
        <w:pStyle w:val="1228"/>
        <w:contextualSpacing/>
        <w:ind w:left="0" w:right="0" w:firstLine="709"/>
        <w:jc w:val="both"/>
        <w:spacing w:before="0" w:after="0" w:line="276" w:lineRule="auto"/>
        <w:shd w:val="clear" w:color="auto" w:fill="ffffff"/>
        <w:tabs>
          <w:tab w:val="left" w:pos="709" w:leader="none"/>
          <w:tab w:val="left" w:pos="709" w:leader="none"/>
        </w:tabs>
        <w:rPr>
          <w:highlight w:val="none"/>
        </w:rPr>
      </w:pPr>
      <w:r>
        <w:t xml:space="preserve">2.2.7. </w:t>
      </w:r>
      <w:r>
        <w:t xml:space="preserve">Требовать от Подрядчика представления информации и пояснений о ходе </w:t>
      </w:r>
      <w: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highlight w:val="none"/>
        </w:rPr>
      </w:r>
      <w:r>
        <w:rPr>
          <w:highlight w:val="none"/>
        </w:rPr>
      </w:r>
    </w:p>
    <w:p>
      <w:pPr>
        <w:pStyle w:val="1228"/>
        <w:contextualSpacing/>
        <w:ind w:left="0" w:right="0" w:firstLine="709"/>
        <w:jc w:val="both"/>
        <w:spacing w:before="0" w:after="0" w:line="276" w:lineRule="auto"/>
        <w:shd w:val="clear" w:color="auto" w:fill="ffffff"/>
        <w:tabs>
          <w:tab w:val="left" w:pos="709" w:leader="none"/>
          <w:tab w:val="left" w:pos="709" w:leader="none"/>
        </w:tabs>
        <w:rPr>
          <w:sz w:val="10"/>
          <w:szCs w:val="10"/>
        </w:rPr>
      </w:pPr>
      <w:r>
        <w:rPr>
          <w:sz w:val="10"/>
          <w:szCs w:val="10"/>
          <w:highlight w:val="none"/>
        </w:rPr>
      </w: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pStyle w:val="1184"/>
        <w:numPr>
          <w:ilvl w:val="1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  <w:u w:val="single"/>
        </w:rPr>
        <w:t xml:space="preserve">Подрядчик обязан</w:t>
      </w:r>
      <w:r>
        <w:rPr>
          <w:b/>
          <w:bCs/>
        </w:rPr>
        <w:t xml:space="preserve">: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Выполнить Работы в объеме, сроки  согласно графика производства работ (Приложение №11 к Договору) и с качеством, соответствующим требованиям Договора и Применимого права и сдать их результат Заказчику.</w:t>
      </w:r>
      <w:r/>
    </w:p>
    <w:p>
      <w:pPr>
        <w:pStyle w:val="1228"/>
        <w:numPr>
          <w:ilvl w:val="2"/>
          <w:numId w:val="17"/>
        </w:numPr>
        <w:contextualSpacing/>
        <w:ind w:left="0" w:firstLine="709"/>
        <w:jc w:val="both"/>
        <w:spacing w:before="0" w:after="0" w:line="276" w:lineRule="auto"/>
        <w:shd w:val="clear" w:color="auto" w:fill="ffffff"/>
        <w:tabs>
          <w:tab w:val="clear" w:pos="709" w:leader="none"/>
          <w:tab w:val="left" w:pos="1418" w:leader="none"/>
        </w:tabs>
      </w:pPr>
      <w:r>
        <w:rPr>
          <w:bCs/>
        </w:rPr>
        <w:t xml:space="preserve">В соот</w:t>
      </w:r>
      <w:r>
        <w:rPr>
          <w:bCs/>
        </w:rPr>
        <w:t xml:space="preserve">ветствии с пунктом 2.1.2 Договора, принять от Заказчика на время выполнения Работ по Договору место производства Работ, место/помещение для складирования Материально-технических ресурсов по соответствующим актам сдачи-приемки (Приложение № 3 к Договору).</w:t>
      </w:r>
      <w:r>
        <w:rPr>
          <w:bCs/>
        </w:rPr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 приемке места производства Работ, места/помещения для складирования Мате</w:t>
      </w:r>
      <w:r>
        <w:t xml:space="preserve">риально-технических ресурсов,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 </w:t>
      </w:r>
      <w:r/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 невыполнения данной обязанност</w:t>
      </w:r>
      <w:r>
        <w:t xml:space="preserve">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местам/помещению, оборудованию и инструменту.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 недостаточности для производства Работ по Договору источников электроснабжения, водоснабжения или к</w:t>
      </w:r>
      <w:r>
        <w:t xml:space="preserve">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 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До фактического начала выполнения Работ предоставить Заказчику:</w:t>
      </w:r>
      <w:r/>
    </w:p>
    <w:p>
      <w:pPr>
        <w:pStyle w:val="1184"/>
        <w:numPr>
          <w:ilvl w:val="0"/>
          <w:numId w:val="48"/>
        </w:numPr>
        <w:contextualSpacing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48"/>
        </w:numPr>
        <w:contextualSpacing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</w:t>
      </w:r>
      <w:r>
        <w:rPr>
          <w:sz w:val="24"/>
          <w:szCs w:val="24"/>
        </w:rPr>
        <w:t xml:space="preserve">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48"/>
        </w:numPr>
        <w:contextualSpacing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  <w:highlight w:val="none"/>
        </w:rPr>
        <w:t xml:space="preserve">контакты </w:t>
      </w:r>
      <w:r>
        <w:rPr>
          <w:bCs/>
        </w:rPr>
        <w:t xml:space="preserve">и должность представителей Подрядчика, ответственных за пожарную безопасность помещений, переданных Заказчиком Подрядчику по </w:t>
      </w:r>
      <w:r>
        <w:t xml:space="preserve">соответствующим актам сдачи-приемки (Приложение № </w:t>
      </w:r>
      <w:r>
        <w:t xml:space="preserve">3</w:t>
      </w:r>
      <w:r>
        <w:t xml:space="preserve"> к Договору) в соответствии с пунктами 2.1.2 и 2.1.3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highlight w:val="white"/>
        </w:rPr>
      </w:pPr>
      <w:r>
        <w:rPr>
          <w:bCs/>
        </w:rPr>
        <w:t xml:space="preserve">В случае предоставления Заказчиком помещения, </w:t>
      </w:r>
      <w:r>
        <w:t xml:space="preserve">обеспечить сохранность переданных Заказчиком</w:t>
      </w:r>
      <w:r>
        <w:t xml:space="preserve"> по соответствующим актам сдачи-приемки мест/помещений, а также возврат их Заказчику в первоначаль</w:t>
      </w:r>
      <w:r>
        <w:rPr>
          <w:highlight w:val="white"/>
        </w:rPr>
        <w:t xml:space="preserve">ном состоянии с учетом естественного износа</w:t>
      </w:r>
      <w:r>
        <w:rPr>
          <w:highlight w:val="white"/>
        </w:rPr>
        <w:t xml:space="preserve"> не позднее даты окончания выполнения Работ, указанно</w:t>
      </w:r>
      <w:r>
        <w:rPr>
          <w:highlight w:val="white"/>
        </w:rPr>
        <w:t xml:space="preserve">й в пункте 1.5.2 Договора, либо, в случаях прекращения (расторжения) Договора, указанных в разделе 13 Догово</w:t>
      </w:r>
      <w:r>
        <w:rPr>
          <w:highlight w:val="white"/>
        </w:rPr>
        <w:t xml:space="preserve">ра, – не позднее 3 (трех) рабочих дней с даты получения соответствующего требования Заказчика. </w:t>
      </w:r>
      <w:r>
        <w:rPr>
          <w:highlight w:val="white"/>
        </w:rPr>
      </w:r>
      <w:r>
        <w:rPr>
          <w:highlight w:val="white"/>
        </w:rPr>
      </w:r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highlight w:val="white"/>
        </w:rPr>
      </w:pPr>
      <w:r>
        <w:rPr>
          <w:highlight w:val="none"/>
        </w:rPr>
      </w:r>
      <w:r>
        <w:t xml:space="preserve">Обеспечить наличие допусков, разрешений и лицензий, необходимых для производства Работ.</w:t>
      </w:r>
      <w:r>
        <w:rPr>
          <w:highlight w:val="white"/>
        </w:rPr>
      </w:r>
      <w:r>
        <w:rPr>
          <w:highlight w:val="white"/>
        </w:rPr>
      </w:r>
    </w:p>
    <w:p>
      <w:pPr>
        <w:pStyle w:val="1228"/>
        <w:contextualSpacing/>
        <w:ind w:left="0" w:firstLine="709"/>
        <w:jc w:val="both"/>
        <w:spacing w:before="0" w:after="0" w:line="276" w:lineRule="auto"/>
        <w:shd w:val="clear" w:color="auto" w:fill="ffffff"/>
        <w:tabs>
          <w:tab w:val="clear" w:pos="709" w:leader="none"/>
          <w:tab w:val="left" w:pos="1418" w:leader="none"/>
        </w:tabs>
      </w:pPr>
      <w:r>
        <w:t xml:space="preserve">Подрядчик обязан незамедлительно, но в любом случае не позднее рабочего дня, следующего за днем наступлением соответствующего обс</w:t>
      </w:r>
      <w:r>
        <w:t xml:space="preserve">то</w:t>
      </w:r>
      <w:r>
        <w:t xml:space="preserve">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Договору, </w:t>
      </w:r>
      <w:r>
        <w:rPr>
          <w:bCs/>
        </w:rPr>
        <w:t xml:space="preserve"> </w:t>
      </w:r>
      <w:r>
        <w:t xml:space="preserve">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/>
    </w:p>
    <w:p>
      <w:pPr>
        <w:pStyle w:val="1228"/>
        <w:contextualSpacing/>
        <w:ind w:left="0" w:firstLine="709"/>
        <w:jc w:val="both"/>
        <w:spacing w:before="0" w:after="0" w:line="276" w:lineRule="auto"/>
        <w:shd w:val="clear" w:color="auto" w:fill="ffffff"/>
        <w:tabs>
          <w:tab w:val="clear" w:pos="709" w:leader="none"/>
          <w:tab w:val="left" w:pos="1418" w:leader="none"/>
        </w:tabs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</w:t>
      </w:r>
      <w:r>
        <w:t xml:space="preserve">рядчика получить дополнительные допуски, разрешения и/или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и/или лицензии и направить их копии Заказчику.</w:t>
      </w:r>
      <w:r/>
    </w:p>
    <w:p>
      <w:pPr>
        <w:pStyle w:val="1228"/>
        <w:contextualSpacing/>
        <w:ind w:left="0" w:firstLine="709"/>
        <w:jc w:val="both"/>
        <w:spacing w:before="0" w:after="0" w:line="276" w:lineRule="auto"/>
        <w:shd w:val="clear" w:color="auto" w:fill="ffffff"/>
        <w:tabs>
          <w:tab w:val="clear" w:pos="709" w:leader="none"/>
          <w:tab w:val="left" w:pos="1418" w:leader="none"/>
        </w:tabs>
        <w:rPr>
          <w:highlight w:val="none"/>
        </w:rPr>
      </w:pPr>
      <w: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t xml:space="preserve">ься для целей Договора как обстоятельство непреодолимой силы (форс-мажор), указанное в пункте 10.1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highlight w:val="none"/>
        </w:rPr>
      </w:r>
      <w:r>
        <w:rPr>
          <w:highlight w:val="none"/>
        </w:rPr>
      </w:r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white"/>
        </w:rPr>
        <w:t xml:space="preserve">Выполнять Работы силами квалифицированных специалистов, прошедших соответствующую подготовку, квалификация, опыт и компетенция которых позволяет обеспечи</w:t>
      </w:r>
      <w:r>
        <w:t xml:space="preserve">ть надлежащее и качественное выполнение Работ. 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Обеспечить доставку, приемку, разгрузку, складирование и хранение прибывающих на ремонтную площадку Материально-технических ресурсов, необходимых для выполнения Работ.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Организовать контроль качества Материально-технических ресурсов </w:t>
      </w:r>
      <w:r>
        <w:t xml:space="preserve">поступающих для производства Работ</w:t>
      </w:r>
      <w:r>
        <w:t xml:space="preserve">, обеспечить наличие соответствующих сертификатов, технических паспортов и други</w:t>
      </w:r>
      <w:r>
        <w:t xml:space="preserve">х документов, удостоверяющих качество используемых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случаях, установленных правилами пропускного и внутриобъектового режима Заказчика, предварительно согласовать с Заказчиком </w:t>
      </w:r>
      <w:r>
        <w:t xml:space="preserve">пофамильные</w:t>
      </w:r>
      <w:r>
        <w:t xml:space="preserve"> списки персонала, задействованного при производстве Работ.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Провести инструктаж персонала, задействованного при производстве Работ, обеспечить соблюдение (в том числе указан</w:t>
      </w:r>
      <w:r>
        <w:t xml:space="preserve">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 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Обесп</w:t>
      </w:r>
      <w: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</w:r>
      <w:r>
        <w:rPr>
          <w:bCs/>
        </w:rPr>
        <w:t xml:space="preserve">Предоставить Заказчику в полном объеме необходимую для приемки Работ приемо-сдаточную и исполнительную документацию по форме (Приложение №6 к Договору) в 3 (трех) экземплярах.</w:t>
      </w:r>
      <w:r>
        <w:rPr>
          <w:bCs/>
        </w:rPr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</w:r>
      <w:r>
        <w:rPr>
          <w:bCs/>
        </w:rPr>
        <w:t xml:space="preserve">В течение двух дней принять меры к устранению замечаний, указанных Заказчиком в журнале производства работ.</w:t>
      </w:r>
      <w:r>
        <w:rPr>
          <w:bCs/>
        </w:rPr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</w:r>
      <w: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</w:r>
      <w:r>
        <w:rPr>
          <w:bCs/>
        </w:rPr>
        <w:t xml:space="preserve">Передать Заказчику в полном объеме лом черных и цветных металлов, образовавшийся в ходе выполнения Работ.</w:t>
      </w:r>
      <w:r>
        <w:rPr>
          <w:bCs/>
        </w:rPr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</w:r>
      <w:r>
        <w:t xml:space="preserve">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Подрядчика. </w:t>
      </w:r>
      <w:r/>
    </w:p>
    <w:p>
      <w:pPr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в том случае если письменно известил Заказчика о возможных негативных последствиях исполнения таких указаний </w:t>
      </w:r>
      <w:r>
        <w:rPr>
          <w:sz w:val="24"/>
          <w:szCs w:val="24"/>
        </w:rPr>
        <w:t xml:space="preserve">в соответствии с пунктом 2.3.21.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и/или исключения отдельных видов Работ </w:t>
      </w:r>
      <w:r>
        <w:t xml:space="preserve">кроме случая, указанного в пункте 2.3.21.1.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t xml:space="preserve">Письменно известить Заказчика и до получения от него необходимых указаний </w:t>
      </w:r>
      <w:r>
        <w:rPr>
          <w:sz w:val="24"/>
          <w:szCs w:val="24"/>
        </w:rPr>
        <w:t xml:space="preserve">приостановить Работу при обнаружении:</w:t>
      </w:r>
      <w: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sz w:val="24"/>
          <w:szCs w:val="24"/>
        </w:rPr>
      </w:r>
      <w:r>
        <w:rPr>
          <w:sz w:val="24"/>
          <w:szCs w:val="24"/>
        </w:rPr>
        <w:t xml:space="preserve">2.3.21.1. </w:t>
      </w:r>
      <w:r>
        <w:rPr>
          <w:sz w:val="24"/>
          <w:szCs w:val="24"/>
        </w:rPr>
        <w:t xml:space="preserve">возможных неблагоприятных для Заказчика последствий выполнения его указаний, в любом случае не позднее момента начала выполнения таких указаний;</w:t>
      </w:r>
      <w:r>
        <w:rPr>
          <w:sz w:val="24"/>
          <w:szCs w:val="24"/>
        </w:rPr>
      </w:r>
      <w:r/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sz w:val="24"/>
          <w:szCs w:val="24"/>
        </w:rPr>
        <w:t xml:space="preserve">2.3.21.2. </w:t>
      </w:r>
      <w:r>
        <w:rPr>
          <w:sz w:val="24"/>
          <w:szCs w:val="24"/>
        </w:rPr>
        <w:t xml:space="preserve">отклонения</w:t>
      </w:r>
      <w:r>
        <w:rPr>
          <w:sz w:val="24"/>
          <w:szCs w:val="24"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отклонений, в любом случае не позднее следующего рабочего дня после обнаружения таких отклонений;</w:t>
      </w:r>
      <w:r>
        <w:rPr>
          <w:sz w:val="24"/>
          <w:szCs w:val="24"/>
        </w:rPr>
      </w:r>
      <w:r/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sz w:val="24"/>
          <w:szCs w:val="24"/>
        </w:rPr>
        <w:t xml:space="preserve">2.3.21.3. любых иных обстоятельств, угрожающих годности, прочности и/или безопасности Результата Работ, либо способных повлечь изменение объемов, сроков, качества или стоимости </w:t>
      </w:r>
      <w:r>
        <w:rPr>
          <w:sz w:val="24"/>
          <w:szCs w:val="24"/>
        </w:rPr>
        <w:t xml:space="preserve">выполнения Работ, предусмотренных Договором, в любом случае не позднее следующего рабочег</w:t>
      </w:r>
      <w:r>
        <w:rPr>
          <w:sz w:val="24"/>
          <w:szCs w:val="24"/>
        </w:rPr>
        <w:t xml:space="preserve">о дня после обнаружения таких обстоятельств.  </w:t>
      </w:r>
      <w:r>
        <w:rPr>
          <w:sz w:val="24"/>
          <w:szCs w:val="24"/>
        </w:rPr>
      </w:r>
      <w:r/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Невыполнение Подрядчиком требований пункта 2.3.21 Договора лишает его </w:t>
      </w:r>
      <w:r>
        <w:rPr>
          <w:sz w:val="24"/>
          <w:szCs w:val="24"/>
        </w:rPr>
        <w:t xml:space="preserve">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t xml:space="preserve">Письменно уведомлять Заказчика о любых внеплановых событиях и </w:t>
      </w:r>
      <w:r>
        <w:rPr>
          <w:sz w:val="24"/>
          <w:szCs w:val="24"/>
        </w:rPr>
        <w:t xml:space="preserve">происшествиях, возникших в ходе исполнения Договора, включая, но не ограничиваясь: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51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аварии – в течение 2 (двух)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51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51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хищении и иных противоправных действиях – в течение 24 (двадцати четырех)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51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аресте и/или блокировании счетов и/или иных обстоятельствах, влияющих на осуществление расчетов между Сторонами – в течение 24 (двадцати четырех)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51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51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иных обстоятельствах, фактах, сообщениях в средствах массовой информации – в течение 24 (двадцати четырех) часов.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Нести риск случайной гибели и случайного повреждения мест/помещений, прин</w:t>
      </w:r>
      <w:r>
        <w:rPr>
          <w:highlight w:val="white"/>
        </w:rPr>
        <w:t xml:space="preserve">ят</w:t>
      </w:r>
      <w:r>
        <w:rPr>
          <w:highlight w:val="white"/>
        </w:rPr>
        <w:t xml:space="preserve">ых от Заказч</w:t>
      </w:r>
      <w:r>
        <w:rPr>
          <w:highlight w:val="white"/>
        </w:rPr>
        <w:t xml:space="preserve">ик</w:t>
      </w:r>
      <w:r>
        <w:t xml:space="preserve">а в соответствии с пунктом 2.3.2 Договора, до момента их передачи (возврата) Заказчику по соответствующим актам сдачи-приемки (Приложение № 3 к Договору).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 требованию и в сроки, установленные Заказчиком, своими силами, средствами и </w:t>
      </w:r>
      <w:r>
        <w:t xml:space="preserve">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Письменно уведомлять Заказчика о необходимости проведения </w:t>
      </w:r>
      <w:r>
        <w:t xml:space="preserve">освидетельство</w:t>
      </w:r>
      <w:r>
        <w:rPr>
          <w:sz w:val="24"/>
          <w:szCs w:val="24"/>
        </w:rPr>
        <w:t xml:space="preserve">вания</w:t>
      </w:r>
      <w:r>
        <w:rPr>
          <w:sz w:val="24"/>
          <w:szCs w:val="24"/>
        </w:rPr>
        <w:t xml:space="preserve"> и/или приемки Скрытых работ. Указанное уведомление должно быть получено Заказчиком заблаговременно, но не позднее, чем за 5 (пять) рабочих дней до начала осви</w:t>
      </w:r>
      <w:r>
        <w:rPr>
          <w:sz w:val="24"/>
          <w:szCs w:val="24"/>
        </w:rPr>
        <w:t xml:space="preserve">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</w:t>
      </w:r>
      <w:r>
        <w:rPr>
          <w:sz w:val="24"/>
          <w:szCs w:val="24"/>
        </w:rPr>
        <w:t xml:space="preserve">всю необходимую во</w:t>
      </w:r>
      <w:r>
        <w:rPr>
          <w:sz w:val="24"/>
          <w:szCs w:val="24"/>
        </w:rPr>
        <w:t xml:space="preserve">сстановительную работу за с</w:t>
      </w:r>
      <w:r>
        <w:rPr>
          <w:sz w:val="24"/>
          <w:szCs w:val="24"/>
        </w:rPr>
        <w:t xml:space="preserve">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 (Приложение №7 к Договору).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Осуществлять мероприятия строительного контроля, возложенные на Подрядчика Положением о проведении строительного контроля при осуществлении </w:t>
      </w:r>
      <w:r>
        <w:rPr>
          <w:bCs/>
        </w:rPr>
        <w:t xml:space="preserve"> строительства, реконструкции и капитального ремонта объекта капитального строительства, утвержденным Постановлением Правительства Российской Федерации от 21.06.2010 № 468.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Освободить Заказчика от л</w:t>
      </w:r>
      <w:r>
        <w:t xml:space="preserve">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и/или привлеченными им Субпо</w:t>
      </w:r>
      <w:r>
        <w:t xml:space="preserve">дрядчиками вреда жизни или здоровью людей, имуществу Заказчика или третьих лиц, а также фактам нарушения Подрядчиком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без какого-либо ограничения размера такого возмещения.</w:t>
      </w:r>
      <w:r/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страхования. 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 предъявления налоговыми органами претензий и требований к Заказчику, связанных с недобросовестность</w:t>
      </w:r>
      <w:r>
        <w:t xml:space="preserve">ю Субподрядчиков (любого лица из цепочки субподрядчиков), 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  <w:t xml:space="preserve">В течении</w:t>
      </w:r>
      <w:r>
        <w:rPr>
          <w:sz w:val="24"/>
          <w:szCs w:val="24"/>
          <w:highlight w:val="none"/>
        </w:rPr>
        <w:t xml:space="preserve"> 10 (десяти) рабочих дней с даты получения запроса( письма) касающейся информации Договора  Подрядчик обязан предоставить ответ Заказчику.  </w:t>
      </w:r>
      <w:r>
        <w:rPr>
          <w:highlight w:val="none"/>
        </w:rPr>
        <w:t xml:space="preserve"> </w:t>
      </w:r>
      <w:r>
        <w:rPr>
          <w:highlight w:val="none"/>
        </w:rPr>
      </w:r>
      <w:r/>
    </w:p>
    <w:p>
      <w:pPr>
        <w:pStyle w:val="1184"/>
        <w:numPr>
          <w:ilvl w:val="2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Исполнять иные обязанности, предусмотренные Договором и законодательством Российской Федерации. </w:t>
      </w:r>
      <w:r>
        <w:rPr>
          <w:sz w:val="24"/>
          <w:szCs w:val="24"/>
        </w:rPr>
      </w:r>
      <w:r/>
    </w:p>
    <w:p>
      <w:pPr>
        <w:ind w:left="0" w:right="0" w:firstLine="0"/>
        <w:jc w:val="both"/>
        <w:spacing w:line="276" w:lineRule="auto"/>
        <w:shd w:val="clear" w:color="auto" w:fill="ffffff"/>
        <w:tabs>
          <w:tab w:val="left" w:pos="0" w:leader="none"/>
        </w:tabs>
        <w:rPr>
          <w:sz w:val="6"/>
          <w:szCs w:val="6"/>
        </w:rPr>
      </w:pPr>
      <w:r>
        <w:rPr>
          <w:sz w:val="6"/>
          <w:szCs w:val="6"/>
          <w:highlight w:val="none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pStyle w:val="1184"/>
        <w:numPr>
          <w:ilvl w:val="1"/>
          <w:numId w:val="1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  <w:u w:val="single"/>
        </w:rPr>
        <w:t xml:space="preserve">Подрядчик имеет право</w:t>
      </w:r>
      <w:r>
        <w:rPr>
          <w:b/>
          <w:bCs/>
        </w:rPr>
        <w:t xml:space="preserve">: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numPr>
          <w:ilvl w:val="2"/>
          <w:numId w:val="27"/>
        </w:numPr>
        <w:ind w:left="0" w:right="0" w:firstLine="709"/>
        <w:spacing w:line="276" w:lineRule="auto"/>
        <w:shd w:val="clear" w:color="auto" w:fill="ffffff"/>
        <w:tabs>
          <w:tab w:val="left" w:pos="0" w:leader="none"/>
        </w:tabs>
      </w:pPr>
      <w:r>
        <w:t xml:space="preserve">Самостоятельно организовать выполнение Работ.</w:t>
      </w:r>
      <w:r/>
    </w:p>
    <w:p>
      <w:pPr>
        <w:pStyle w:val="1184"/>
        <w:numPr>
          <w:ilvl w:val="2"/>
          <w:numId w:val="28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 </w:t>
      </w:r>
      <w:r>
        <w:t xml:space="preserve">необходимости по предварительному письменному согласованию с Заказчиком заключать договоры субподряда в совокупности не более чем на ___% (_____процентов) от цены договора, неся при этом ответственность за действия Субподрядчиков, как за свои собственные. </w:t>
      </w:r>
      <w:r/>
    </w:p>
    <w:p>
      <w:pPr>
        <w:pStyle w:val="1184"/>
        <w:ind w:left="0" w:right="0" w:firstLine="0"/>
        <w:jc w:val="both"/>
        <w:spacing w:line="276" w:lineRule="auto"/>
        <w:shd w:val="clear" w:color="auto" w:fill="ffffff"/>
        <w:tabs>
          <w:tab w:val="left" w:pos="0" w:leader="none"/>
        </w:tabs>
      </w:pPr>
      <w:r>
        <w:tab/>
        <w:t xml:space="preserve">При согласовании привлечения Субподрядчика Подрядчик представляет Заказчику: </w:t>
      </w:r>
      <w:r/>
    </w:p>
    <w:p>
      <w:pPr>
        <w:pStyle w:val="1184"/>
        <w:numPr>
          <w:ilvl w:val="0"/>
          <w:numId w:val="4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проект договора с Субподрядчиком;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4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об объемах выполнения работ Субподрядчиком;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4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пофамильный</w:t>
      </w:r>
      <w:r>
        <w:rPr>
          <w:sz w:val="24"/>
          <w:szCs w:val="24"/>
        </w:rPr>
        <w:t xml:space="preserve"> перечень персонала Субподрядчика, который будет задействован при производстве Работ;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4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учредительные документы;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4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подтверждение полномочий руководителя субподрядной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4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47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справку по форме Приложения № 5 к Договору (в случае привлечения Субподрядчика, соответствующего критериям СМП).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sz w:val="24"/>
          <w:szCs w:val="24"/>
          <w:highlight w:val="none"/>
        </w:rPr>
        <w:t xml:space="preserve">2.5. </w:t>
      </w:r>
      <w:r>
        <w:rPr>
          <w:bCs/>
          <w:sz w:val="24"/>
          <w:szCs w:val="24"/>
        </w:rPr>
        <w:t xml:space="preserve">В рамках исполнения Договора Стороны обязуются применять электронный документооборот, руководствуясь действующим законодательством РФ, Правилами операторов систем электронного документообо</w:t>
      </w:r>
      <w:r>
        <w:rPr>
          <w:bCs/>
          <w:sz w:val="24"/>
          <w:szCs w:val="24"/>
        </w:rPr>
        <w:t xml:space="preserve">рота (аккредитованных 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</w:t>
      </w:r>
      <w:r>
        <w:rPr>
          <w:bCs/>
          <w:sz w:val="24"/>
          <w:szCs w:val="24"/>
        </w:rPr>
        <w:t xml:space="preserve">web</w:t>
      </w:r>
      <w:r>
        <w:rPr>
          <w:bCs/>
          <w:sz w:val="24"/>
          <w:szCs w:val="24"/>
        </w:rPr>
        <w:t xml:space="preserve">-решения </w:t>
      </w:r>
      <w:r>
        <w:rPr>
          <w:bCs/>
          <w:sz w:val="24"/>
          <w:szCs w:val="24"/>
        </w:rPr>
        <w:t xml:space="preserve">Диадок</w:t>
      </w:r>
      <w:r>
        <w:rPr>
          <w:bCs/>
          <w:sz w:val="24"/>
          <w:szCs w:val="24"/>
        </w:rPr>
        <w:t xml:space="preserve"> (https://www.diadoc.ru/). В случае использования Подрядчиком другого Оператора электронного </w:t>
      </w:r>
      <w:r>
        <w:rPr>
          <w:bCs/>
          <w:sz w:val="24"/>
          <w:szCs w:val="24"/>
        </w:rPr>
        <w:t xml:space="preserve">документооборота</w:t>
      </w:r>
      <w:r>
        <w:rPr>
          <w:bCs/>
          <w:sz w:val="24"/>
          <w:szCs w:val="24"/>
        </w:rPr>
        <w:t xml:space="preserve"> (аккредитованного ФНС РФ), Заказчик инициирует настройку роуминга между Операторами систем электронного документооборота Сторон</w:t>
      </w:r>
      <w:r>
        <w:rPr>
          <w:sz w:val="24"/>
          <w:szCs w:val="24"/>
          <w:highlight w:val="none"/>
        </w:rPr>
        <w:t xml:space="preserve">.</w:t>
      </w:r>
      <w:r/>
    </w:p>
    <w:p>
      <w:pPr>
        <w:pStyle w:val="1184"/>
        <w:ind w:left="0" w:right="0" w:firstLine="709"/>
        <w:jc w:val="both"/>
        <w:shd w:val="clear" w:color="auto" w:fill="ffffff"/>
        <w:tabs>
          <w:tab w:val="left" w:pos="0" w:leader="none"/>
        </w:tabs>
        <w:rPr>
          <w:sz w:val="10"/>
          <w:szCs w:val="10"/>
        </w:rPr>
      </w:pPr>
      <w:r>
        <w:rPr>
          <w:sz w:val="14"/>
          <w:szCs w:val="14"/>
        </w:rPr>
      </w: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pStyle w:val="1184"/>
        <w:numPr>
          <w:ilvl w:val="0"/>
          <w:numId w:val="28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Цена Договора и порядок расчетов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pStyle w:val="1184"/>
        <w:numPr>
          <w:ilvl w:val="1"/>
          <w:numId w:val="121"/>
        </w:numPr>
        <w:ind w:lef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1417" w:leader="none"/>
        </w:tabs>
      </w:pPr>
      <w:r>
        <w:t xml:space="preserve"> </w:t>
      </w:r>
      <w:r>
        <w:t xml:space="preserve">Цена </w:t>
      </w:r>
      <w:r>
        <w:rPr>
          <w:sz w:val="24"/>
          <w:szCs w:val="24"/>
          <w:highlight w:val="white"/>
        </w:rPr>
        <w:t xml:space="preserve">Договора </w:t>
      </w:r>
      <w:r>
        <w:rPr>
          <w:bCs/>
          <w:sz w:val="24"/>
          <w:szCs w:val="24"/>
          <w:highlight w:val="white"/>
        </w:rPr>
        <w:t xml:space="preserve">в соответствии с Локальным сметным расчетом (Приложение №2 к Договору) являет</w:t>
      </w:r>
      <w:r>
        <w:rPr>
          <w:bCs/>
          <w:sz w:val="24"/>
          <w:szCs w:val="24"/>
          <w:highlight w:val="white"/>
        </w:rPr>
        <w:t xml:space="preserve">ся предельной и составляет _______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bCs/>
          <w:sz w:val="24"/>
          <w:szCs w:val="24"/>
          <w:highlight w:val="white"/>
        </w:rPr>
        <w:t xml:space="preserve">_________) рубль</w:t>
      </w:r>
      <w:r>
        <w:rPr>
          <w:bCs/>
          <w:sz w:val="24"/>
          <w:szCs w:val="24"/>
          <w:highlight w:val="white"/>
        </w:rPr>
        <w:t xml:space="preserve"> __ копеек</w:t>
      </w:r>
      <w:r>
        <w:rPr>
          <w:bCs/>
          <w:sz w:val="24"/>
          <w:szCs w:val="24"/>
          <w:highlight w:val="white"/>
        </w:rPr>
        <w:t xml:space="preserve">, в</w:t>
      </w:r>
      <w:r>
        <w:rPr>
          <w:bCs/>
          <w:sz w:val="24"/>
          <w:szCs w:val="24"/>
          <w:highlight w:val="white"/>
        </w:rPr>
        <w:t xml:space="preserve"> том числе НДС (%) – ______</w:t>
      </w:r>
      <w:r>
        <w:rPr>
          <w:bCs/>
          <w:sz w:val="24"/>
          <w:szCs w:val="24"/>
          <w:highlight w:val="white"/>
        </w:rPr>
        <w:t xml:space="preserve"> (____________</w:t>
      </w:r>
      <w:r>
        <w:rPr>
          <w:bCs/>
          <w:sz w:val="24"/>
          <w:szCs w:val="24"/>
          <w:highlight w:val="white"/>
        </w:rPr>
        <w:t xml:space="preserve">) рубля</w:t>
      </w:r>
      <w:r>
        <w:rPr>
          <w:bCs/>
          <w:sz w:val="24"/>
          <w:szCs w:val="24"/>
          <w:highlight w:val="white"/>
        </w:rPr>
        <w:t xml:space="preserve"> __</w:t>
      </w:r>
      <w:r>
        <w:rPr>
          <w:bCs/>
          <w:sz w:val="24"/>
          <w:szCs w:val="24"/>
          <w:highlight w:val="white"/>
        </w:rPr>
        <w:t xml:space="preserve"> копеек.</w:t>
      </w:r>
      <w:r>
        <w:rPr>
          <w:bCs/>
          <w:sz w:val="24"/>
          <w:szCs w:val="24"/>
          <w:highlight w:val="white"/>
        </w:rPr>
        <w:t xml:space="preserve"> </w:t>
      </w:r>
      <w:r/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1417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3.1.1 Предельная </w:t>
      </w:r>
      <w:r>
        <w:rPr>
          <w:sz w:val="24"/>
          <w:szCs w:val="24"/>
          <w:highlight w:val="white"/>
        </w:rPr>
        <w:t xml:space="preserve">цена Работ (без учета Лимита на непредвиденные ра</w:t>
      </w:r>
      <w:r>
        <w:rPr>
          <w:sz w:val="24"/>
          <w:szCs w:val="24"/>
          <w:highlight w:val="white"/>
        </w:rPr>
        <w:t xml:space="preserve">боты и затраты) составляет _______</w:t>
      </w:r>
      <w:r>
        <w:rPr>
          <w:sz w:val="24"/>
          <w:szCs w:val="24"/>
          <w:highlight w:val="white"/>
        </w:rPr>
        <w:t xml:space="preserve"> (__________________</w:t>
      </w:r>
      <w:r>
        <w:rPr>
          <w:sz w:val="24"/>
          <w:szCs w:val="24"/>
          <w:highlight w:val="white"/>
        </w:rPr>
        <w:t xml:space="preserve">) рубля ______</w:t>
      </w:r>
      <w:r>
        <w:rPr>
          <w:sz w:val="24"/>
          <w:szCs w:val="24"/>
          <w:highlight w:val="white"/>
        </w:rPr>
        <w:t xml:space="preserve"> коп</w:t>
      </w:r>
      <w:r>
        <w:rPr>
          <w:sz w:val="24"/>
          <w:szCs w:val="24"/>
          <w:highlight w:val="white"/>
        </w:rPr>
        <w:t xml:space="preserve">еек, в том числе НДС (%) – </w:t>
      </w:r>
      <w:r>
        <w:rPr>
          <w:sz w:val="24"/>
          <w:szCs w:val="24"/>
          <w:highlight w:val="white"/>
        </w:rPr>
        <w:t xml:space="preserve">______</w:t>
      </w:r>
      <w:r>
        <w:rPr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_____) рубля ___</w:t>
      </w:r>
      <w:r>
        <w:rPr>
          <w:sz w:val="24"/>
          <w:szCs w:val="24"/>
          <w:highlight w:val="white"/>
        </w:rPr>
        <w:t xml:space="preserve"> ко</w:t>
      </w:r>
      <w:r>
        <w:rPr>
          <w:sz w:val="24"/>
          <w:szCs w:val="24"/>
          <w:highlight w:val="white"/>
        </w:rPr>
        <w:t xml:space="preserve">пеек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1417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3.1.2. Лимит на </w:t>
      </w:r>
      <w:r>
        <w:rPr>
          <w:sz w:val="24"/>
          <w:szCs w:val="24"/>
          <w:highlight w:val="white"/>
        </w:rPr>
        <w:t xml:space="preserve">непредвиденны</w:t>
      </w:r>
      <w:r>
        <w:rPr>
          <w:sz w:val="24"/>
          <w:szCs w:val="24"/>
          <w:highlight w:val="white"/>
        </w:rPr>
        <w:t xml:space="preserve">е работы и затраты составляет </w:t>
      </w:r>
      <w:r>
        <w:rPr>
          <w:sz w:val="24"/>
          <w:szCs w:val="24"/>
          <w:highlight w:val="white"/>
        </w:rPr>
        <w:t xml:space="preserve">____</w:t>
      </w:r>
      <w:r>
        <w:rPr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_____</w:t>
      </w:r>
      <w:r>
        <w:rPr>
          <w:sz w:val="24"/>
          <w:szCs w:val="24"/>
          <w:highlight w:val="white"/>
        </w:rPr>
        <w:t xml:space="preserve">) рублей</w:t>
      </w:r>
      <w:r>
        <w:rPr>
          <w:sz w:val="24"/>
          <w:szCs w:val="24"/>
          <w:highlight w:val="white"/>
        </w:rPr>
        <w:t xml:space="preserve"> ____</w:t>
      </w:r>
      <w:r>
        <w:rPr>
          <w:sz w:val="24"/>
          <w:szCs w:val="24"/>
          <w:highlight w:val="white"/>
        </w:rPr>
        <w:t xml:space="preserve"> копеек</w:t>
      </w:r>
      <w:r>
        <w:rPr>
          <w:sz w:val="24"/>
          <w:szCs w:val="24"/>
          <w:highlight w:val="white"/>
        </w:rPr>
        <w:t xml:space="preserve">, в том числе НДС (%) – </w:t>
      </w:r>
      <w:r>
        <w:rPr>
          <w:sz w:val="24"/>
          <w:szCs w:val="24"/>
          <w:highlight w:val="white"/>
        </w:rPr>
        <w:t xml:space="preserve">____</w:t>
      </w:r>
      <w:r>
        <w:rPr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____) рубль __</w:t>
      </w:r>
      <w:r>
        <w:rPr>
          <w:sz w:val="24"/>
          <w:szCs w:val="24"/>
          <w:highlight w:val="white"/>
        </w:rPr>
        <w:t xml:space="preserve">копеек.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84"/>
        <w:numPr>
          <w:ilvl w:val="1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Цена Договора включает в себя </w:t>
      </w:r>
      <w:r>
        <w:rPr>
          <w:bCs/>
        </w:rPr>
        <w:t xml:space="preserve">прибыль Подрядчика, а также все расходы и затраты Подрядчика на:</w:t>
      </w:r>
      <w:r>
        <w:rPr>
          <w:highlight w:val="none"/>
        </w:rPr>
      </w:r>
      <w:r/>
    </w:p>
    <w:p>
      <w:pPr>
        <w:pStyle w:val="1184"/>
        <w:numPr>
          <w:ilvl w:val="2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  <w:t xml:space="preserve">выполнение ремонтных работ;</w:t>
      </w:r>
      <w:r>
        <w:rPr>
          <w:highlight w:val="none"/>
        </w:rPr>
      </w:r>
      <w:r/>
    </w:p>
    <w:p>
      <w:pPr>
        <w:pStyle w:val="1184"/>
        <w:numPr>
          <w:ilvl w:val="2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приобретение Материально-технических ресурсов, необходимых для выполнения Работ по Договору;</w:t>
      </w:r>
      <w:r/>
    </w:p>
    <w:p>
      <w:pPr>
        <w:pStyle w:val="1184"/>
        <w:numPr>
          <w:ilvl w:val="2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зараб</w:t>
      </w:r>
      <w:r>
        <w:t xml:space="preserve">отную плату, накладные </w:t>
      </w:r>
      <w:r>
        <w:rPr>
          <w:bCs/>
        </w:rPr>
        <w:t xml:space="preserve">и командировочные</w:t>
      </w:r>
      <w:r>
        <w:t xml:space="preserve"> расходы, </w:t>
      </w:r>
      <w:r>
        <w:rPr>
          <w:bCs/>
        </w:rPr>
        <w:t xml:space="preserve">перемещение и размещение персонала Подрядчика</w:t>
      </w:r>
      <w:r>
        <w:t xml:space="preserve">;</w:t>
      </w:r>
      <w:r/>
    </w:p>
    <w:p>
      <w:pPr>
        <w:pStyle w:val="1184"/>
        <w:numPr>
          <w:ilvl w:val="2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/>
    </w:p>
    <w:p>
      <w:pPr>
        <w:pStyle w:val="1184"/>
        <w:numPr>
          <w:ilvl w:val="2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все прочие затраты и расходы Подрядчика, связанные </w:t>
      </w:r>
      <w:r>
        <w:rPr>
          <w:lang w:val="en-US"/>
        </w:rPr>
        <w:t xml:space="preserve">c</w:t>
      </w:r>
      <w:r>
        <w:t xml:space="preserve"> </w:t>
      </w:r>
      <w:r>
        <w:t xml:space="preserve">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  <w:bookmarkStart w:id="14" w:name="_Ref361335023"/>
      <w:r/>
      <w:r/>
    </w:p>
    <w:p>
      <w:pPr>
        <w:pStyle w:val="1184"/>
        <w:numPr>
          <w:ilvl w:val="2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bCs/>
          <w:iCs/>
        </w:rPr>
        <w:t xml:space="preserve">Изменение Цены 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highlight w:val="none"/>
        </w:rPr>
        <w:t xml:space="preserve">.</w:t>
      </w:r>
      <w:r/>
    </w:p>
    <w:p>
      <w:pPr>
        <w:pStyle w:val="1184"/>
        <w:numPr>
          <w:ilvl w:val="1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</w:r>
      <w:r>
        <w:rPr>
          <w:bCs/>
          <w:highlight w:val="white"/>
        </w:rPr>
        <w:t xml:space="preserve">В случае изменения объёмов работ в пределах цены Договора стороны подписывают исполнительные смет</w:t>
      </w:r>
      <w:r>
        <w:rPr>
          <w:bCs/>
          <w:highlight w:val="white"/>
        </w:rPr>
        <w:t xml:space="preserve">ы н</w:t>
      </w:r>
      <w:r>
        <w:rPr>
          <w:bCs/>
        </w:rPr>
        <w:t xml:space="preserve">а основании уточненной ведомости объёмов работ, согласова</w:t>
      </w:r>
      <w:r>
        <w:rPr>
          <w:bCs/>
        </w:rPr>
        <w:t xml:space="preserve">н</w:t>
      </w:r>
      <w:r>
        <w:rPr>
          <w:bCs/>
        </w:rPr>
        <w:t xml:space="preserve">ной сторонами и утве</w:t>
      </w:r>
      <w:r>
        <w:rPr>
          <w:bCs/>
        </w:rPr>
        <w:t xml:space="preserve">рждённой Заказчиком с сохранением ценообразующих факторов, учтенных в Локальном сметном расчете настоящего Договора, с составлением ведомости дополнительных объёмов работ. Уточнённая ведомость, исполнительная смета является обязательными для обеих Сторон.</w:t>
      </w:r>
      <w:r>
        <w:rPr>
          <w:bCs/>
        </w:rPr>
        <w:t xml:space="preserve"> </w:t>
      </w:r>
      <w:r/>
    </w:p>
    <w:p>
      <w:pPr>
        <w:pStyle w:val="1184"/>
        <w:numPr>
          <w:ilvl w:val="1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highlight w:val="white"/>
        </w:rPr>
      </w:pPr>
      <w:r>
        <w:rPr>
          <w:bCs/>
        </w:rPr>
      </w:r>
      <w:r>
        <w:rPr>
          <w:highlight w:val="none"/>
        </w:rPr>
        <w:t xml:space="preserve">Расчет за</w:t>
      </w:r>
      <w:r>
        <w:rPr>
          <w:highlight w:val="none"/>
        </w:rPr>
        <w:t xml:space="preserve"> выполненные работы </w:t>
      </w:r>
      <w:r>
        <w:rPr>
          <w:highlight w:val="white"/>
        </w:rPr>
        <w:t xml:space="preserve">(без учета непредвиденных работ и затрат) осуществляется Заказчиком: в течении 7 (семи) рабочих дней, даты подписания Сторонами документов, указанных в пункте 4.1 Договора, на основании счёта, выставленного Подрядчиком, и с уче</w:t>
      </w:r>
      <w:r>
        <w:rPr>
          <w:highlight w:val="white"/>
        </w:rPr>
        <w:t xml:space="preserve">том пунктов 3.5., 3.6. </w:t>
      </w:r>
      <w:r>
        <w:rPr>
          <w:highlight w:val="white"/>
        </w:rPr>
        <w:t xml:space="preserve">Договора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184"/>
        <w:numPr>
          <w:ilvl w:val="1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highlight w:val="none"/>
        </w:rPr>
        <w:t xml:space="preserve">Заказчик </w:t>
      </w:r>
      <w:r>
        <w:rPr>
          <w:sz w:val="24"/>
          <w:szCs w:val="24"/>
          <w:highlight w:val="none"/>
        </w:rPr>
        <w:t xml:space="preserve">вправе произвести сальдо взаимных </w:t>
      </w:r>
      <w:r>
        <w:rPr>
          <w:sz w:val="24"/>
          <w:szCs w:val="24"/>
        </w:rPr>
        <w:t xml:space="preserve">обязательств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торон путем уменьшения сумм причитающихся подрядчику платежей по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Договору, а также по взаимосвязанным договорам (цепочке договоров), в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рамках единого комплекса хозяйственных взаимоотношений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торон, направленных на исполнение Договора,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суммы задолженности Подрядчика</w:t>
      </w:r>
      <w:r>
        <w:rPr>
          <w:sz w:val="24"/>
          <w:szCs w:val="24"/>
        </w:rPr>
        <w:t xml:space="preserve"> перед Заказчиком,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</w:t>
      </w:r>
      <w:r>
        <w:rPr>
          <w:sz w:val="24"/>
          <w:szCs w:val="24"/>
        </w:rPr>
        <w:t xml:space="preserve"> выполненных Подрядчиком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sz w:val="24"/>
          <w:szCs w:val="24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sz w:val="24"/>
          <w:szCs w:val="24"/>
        </w:rPr>
        <w:t xml:space="preserve"> </w:t>
      </w:r>
      <w:r/>
    </w:p>
    <w:p>
      <w:pPr>
        <w:pStyle w:val="1184"/>
        <w:numPr>
          <w:ilvl w:val="1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 </w:t>
      </w:r>
      <w:r>
        <w:t xml:space="preserve">выставления Подрядчиком счета на сумму м</w:t>
      </w:r>
      <w: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t xml:space="preserve">Заказчиком </w:t>
      </w:r>
      <w:r>
        <w:t xml:space="preserve">не принимается и подлежит замене Подрядчиком независимо от его фактическог</w:t>
      </w:r>
      <w:r>
        <w:t xml:space="preserve">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>
        <w:t xml:space="preserve">.</w:t>
      </w:r>
      <w:r/>
    </w:p>
    <w:p>
      <w:pPr>
        <w:pStyle w:val="1184"/>
        <w:numPr>
          <w:ilvl w:val="1"/>
          <w:numId w:val="3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bCs/>
        </w:rPr>
        <w:t xml:space="preserve">Расчёты по Договору осуществляются в валюте Российской Федерац</w:t>
      </w:r>
      <w:r>
        <w:rPr>
          <w:bCs/>
        </w:rPr>
        <w:t xml:space="preserve">ии. Оплата производится Заказчиком путём перечисления денежных средств на расчётный счёт Подрядчика, указанный в Договоре. Обязательство Заказчика по осуществлению платежа считается исполненным с даты списания денежных средств с расчётного счёта Заказчика.</w:t>
      </w:r>
      <w:r/>
    </w:p>
    <w:p>
      <w:pPr>
        <w:pStyle w:val="1184"/>
        <w:numPr>
          <w:ilvl w:val="1"/>
          <w:numId w:val="34"/>
        </w:numPr>
        <w:contextualSpacing w:val="0"/>
        <w:ind w:left="0" w:right="0" w:firstLine="709"/>
        <w:jc w:val="both"/>
        <w:keepLines w:val="0"/>
        <w:keepNext w:val="0"/>
        <w:spacing w:line="276" w:lineRule="auto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  <w:suppressLineNumbers w:val="0"/>
      </w:pPr>
      <w:r>
        <w:rPr>
          <w:bCs/>
        </w:rPr>
      </w:r>
      <w:bookmarkStart w:id="15" w:name="_Ref361336647"/>
      <w:r>
        <w:rPr>
          <w:sz w:val="24"/>
          <w:szCs w:val="24"/>
        </w:rPr>
        <w:t xml:space="preserve">Стоимость работ</w:t>
      </w:r>
      <w:r>
        <w:rPr>
          <w:sz w:val="24"/>
          <w:szCs w:val="24"/>
        </w:rPr>
        <w:t xml:space="preserve"> </w:t>
      </w:r>
      <w:r>
        <w:rPr>
          <w:szCs w:val="22"/>
        </w:rPr>
        <w:t xml:space="preserve">на дату заключения договора, определена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</w:t>
      </w:r>
      <w:r>
        <w:rPr>
          <w:szCs w:val="22"/>
        </w:rPr>
        <w:t xml:space="preserve"> с применением ресурсно-индексного метода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согласно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следующих ценовых показателей (критериев):</w:t>
      </w:r>
      <w:bookmarkEnd w:id="14"/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bookmarkEnd w:id="15"/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184"/>
        <w:numPr>
          <w:ilvl w:val="0"/>
          <w:numId w:val="107"/>
        </w:numPr>
        <w:contextualSpacing w:val="0"/>
        <w:ind w:left="0" w:firstLine="709"/>
        <w:jc w:val="both"/>
        <w:keepLines w:val="0"/>
        <w:keepNext w:val="0"/>
        <w:spacing w:line="276" w:lineRule="auto"/>
        <w:widowControl w:val="off"/>
        <w:tabs>
          <w:tab w:val="left" w:pos="0" w:leader="none"/>
          <w:tab w:val="left" w:pos="992" w:leader="none"/>
        </w:tabs>
        <w:rPr>
          <w:rFonts w:ascii="Times New Roman" w:hAnsi="Times New Roman" w:cs="Times New Roman"/>
          <w:b w:val="0"/>
          <w:bCs w:val="0"/>
          <w:color w:val="000000" w:themeColor="text1"/>
          <w:spacing w:val="-6"/>
          <w:sz w:val="24"/>
          <w:szCs w:val="24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  <w:highlight w:val="white"/>
        </w:rPr>
        <w:t xml:space="preserve">метная стоимость работ формируется по Сборникам ФСНБ редакции 2022 г. (изм.1-16); 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6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6"/>
          <w:sz w:val="24"/>
          <w:szCs w:val="24"/>
          <w:highlight w:val="white"/>
        </w:rPr>
      </w:r>
    </w:p>
    <w:p>
      <w:pPr>
        <w:pStyle w:val="998"/>
        <w:contextualSpacing w:val="0"/>
        <w:ind w:left="0" w:right="0" w:firstLine="0"/>
        <w:jc w:val="both"/>
        <w:keepLines w:val="0"/>
        <w:keepNext/>
        <w:spacing w:before="0" w:after="0" w:line="276" w:lineRule="auto"/>
        <w:shd w:val="clear" w:color="ffffff" w:fill="ffffff"/>
        <w:widowControl w:val="off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  <w:highlight w:val="white"/>
        </w:rPr>
        <w:t xml:space="preserve">Индексы и сметные цены для ценовой зоны Хабаровский край (2 зона) на 4 квартал 2025 года,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письмо Минстроя России от 01.02.2025 № 5170-ИФ/09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998"/>
        <w:numPr>
          <w:ilvl w:val="0"/>
          <w:numId w:val="111"/>
        </w:numPr>
        <w:contextualSpacing w:val="0"/>
        <w:ind w:right="0"/>
        <w:jc w:val="both"/>
        <w:keepLines w:val="0"/>
        <w:keepNext/>
        <w:spacing w:before="0" w:after="0" w:line="276" w:lineRule="auto"/>
        <w:shd w:val="clear" w:color="ffffff" w:fill="ffffff"/>
        <w:widowControl w:val="off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</w:rPr>
        <w:t xml:space="preserve">нормативы сметной прибыли принимать на работы –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  <w:highlight w:val="white"/>
        </w:rPr>
        <w:t xml:space="preserve">30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  <w:highlight w:val="white"/>
        </w:rPr>
        <w:t xml:space="preserve">%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</w:rPr>
        <w:t xml:space="preserve"> от ФОТ;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998"/>
        <w:numPr>
          <w:ilvl w:val="0"/>
          <w:numId w:val="110"/>
        </w:numPr>
        <w:contextualSpacing w:val="0"/>
        <w:ind w:right="0"/>
        <w:jc w:val="both"/>
        <w:keepLines w:val="0"/>
        <w:keepNext/>
        <w:spacing w:before="0" w:after="0" w:line="276" w:lineRule="auto"/>
        <w:shd w:val="clear" w:color="ffffff" w:fill="ffffff"/>
        <w:widowControl w:val="off"/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14:ligatures w14:val="none"/>
        </w:rPr>
        <w:t xml:space="preserve">непредвиденные затраты приняты – 3% от общей стоимос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14:ligatures w14:val="none"/>
        </w:rPr>
        <w:t xml:space="preserve">ти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6"/>
          <w:sz w:val="24"/>
          <w:szCs w:val="24"/>
        </w:rPr>
      </w:r>
    </w:p>
    <w:p>
      <w:pPr>
        <w:ind w:left="0" w:right="0" w:firstLine="0"/>
        <w:jc w:val="both"/>
        <w:spacing w:line="276" w:lineRule="auto"/>
        <w:widowControl w:val="off"/>
        <w:tabs>
          <w:tab w:val="left" w:pos="0" w:leader="none"/>
        </w:tabs>
        <w:rPr>
          <w:color w:val="000000" w:themeColor="text1"/>
          <w:spacing w:val="-6"/>
          <w:sz w:val="24"/>
          <w:szCs w:val="24"/>
          <w:highlight w:val="none"/>
        </w:rPr>
      </w:pPr>
      <w:r>
        <w:rPr>
          <w:color w:val="000000" w:themeColor="text1"/>
          <w:spacing w:val="-6"/>
          <w:sz w:val="24"/>
          <w:szCs w:val="24"/>
        </w:rPr>
        <w:tab/>
        <w:t xml:space="preserve">3.9. </w:t>
        <w:tab/>
      </w:r>
      <w:r>
        <w:rPr>
          <w:color w:val="000000" w:themeColor="text1"/>
          <w:spacing w:val="-6"/>
          <w:sz w:val="24"/>
          <w:szCs w:val="24"/>
        </w:rPr>
        <w:t xml:space="preserve">На стадии закрытия актов выполненных работ</w:t>
      </w:r>
      <w:r>
        <w:rPr>
          <w:color w:val="000000" w:themeColor="text1"/>
          <w:spacing w:val="-6"/>
          <w:sz w:val="24"/>
          <w:szCs w:val="24"/>
        </w:rPr>
        <w:t xml:space="preserve"> </w:t>
      </w:r>
      <w:r>
        <w:rPr>
          <w:color w:val="000000" w:themeColor="text1"/>
          <w:spacing w:val="-6"/>
          <w:sz w:val="24"/>
          <w:szCs w:val="24"/>
        </w:rPr>
        <w:t xml:space="preserve">резерв </w:t>
      </w:r>
      <w:r>
        <w:rPr>
          <w:color w:val="000000" w:themeColor="text1"/>
          <w:spacing w:val="-6"/>
          <w:sz w:val="24"/>
          <w:szCs w:val="24"/>
        </w:rPr>
        <w:t xml:space="preserve">средств на непредвиденные </w:t>
      </w:r>
      <w:r>
        <w:rPr>
          <w:color w:val="000000" w:themeColor="text1"/>
          <w:spacing w:val="-6"/>
          <w:sz w:val="24"/>
          <w:szCs w:val="24"/>
        </w:rPr>
        <w:t xml:space="preserve">затраты </w:t>
      </w:r>
      <w:r>
        <w:rPr>
          <w:color w:val="000000" w:themeColor="text1"/>
          <w:spacing w:val="-6"/>
          <w:sz w:val="24"/>
          <w:szCs w:val="24"/>
        </w:rPr>
        <w:t xml:space="preserve">в процентах не оплачивается, так как</w:t>
      </w:r>
      <w:r>
        <w:rPr>
          <w:color w:val="000000" w:themeColor="text1"/>
          <w:spacing w:val="-6"/>
          <w:sz w:val="24"/>
          <w:szCs w:val="24"/>
        </w:rPr>
        <w:t xml:space="preserve"> предназначен для</w:t>
      </w:r>
      <w:r>
        <w:rPr>
          <w:color w:val="000000" w:themeColor="text1"/>
          <w:spacing w:val="-6"/>
          <w:sz w:val="24"/>
          <w:szCs w:val="24"/>
        </w:rPr>
        <w:t xml:space="preserve"> возмещения стоимости работ и затрат, потребность в которых может возникнуть в </w:t>
      </w:r>
      <w:r>
        <w:rPr>
          <w:color w:val="000000" w:themeColor="text1"/>
          <w:spacing w:val="-6"/>
          <w:sz w:val="24"/>
          <w:szCs w:val="24"/>
        </w:rPr>
        <w:t xml:space="preserve">процессе производства работ, и подлежит оплате на основании акта на выполнение </w:t>
      </w:r>
      <w:r>
        <w:rPr>
          <w:color w:val="000000" w:themeColor="text1"/>
          <w:spacing w:val="-6"/>
          <w:sz w:val="24"/>
          <w:szCs w:val="24"/>
        </w:rPr>
        <w:t xml:space="preserve">дополнительных работ, дополнительной сметы </w:t>
      </w:r>
      <w:r>
        <w:rPr>
          <w:sz w:val="24"/>
          <w:szCs w:val="24"/>
        </w:rPr>
        <w:t xml:space="preserve">утвержденных Заказчиком, в рамках Лимита на непредвиденные работы и затраты</w:t>
      </w:r>
      <w:r>
        <w:rPr>
          <w:color w:val="000000" w:themeColor="text1"/>
          <w:spacing w:val="-6"/>
          <w:sz w:val="24"/>
          <w:szCs w:val="24"/>
        </w:rPr>
        <w:t xml:space="preserve">, составленной по аналогии с Локальным сметным расчетом</w:t>
      </w:r>
      <w:r>
        <w:rPr>
          <w:color w:val="000000" w:themeColor="text1"/>
          <w:spacing w:val="-6"/>
          <w:sz w:val="24"/>
          <w:szCs w:val="24"/>
        </w:rPr>
        <w:t xml:space="preserve"> Договора подряда. </w:t>
      </w:r>
      <w:r>
        <w:rPr>
          <w:color w:val="000000" w:themeColor="text1"/>
          <w:spacing w:val="-6"/>
          <w:sz w:val="24"/>
          <w:szCs w:val="24"/>
          <w:highlight w:val="none"/>
        </w:rPr>
      </w:r>
      <w:r>
        <w:rPr>
          <w:color w:val="000000" w:themeColor="text1"/>
          <w:spacing w:val="-6"/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76" w:lineRule="auto"/>
        <w:widowControl w:val="off"/>
        <w:tabs>
          <w:tab w:val="left" w:pos="0" w:leader="none"/>
        </w:tabs>
        <w:rPr>
          <w:color w:val="000000" w:themeColor="text1"/>
          <w:spacing w:val="-6"/>
          <w:sz w:val="24"/>
          <w:szCs w:val="24"/>
          <w:highlight w:val="white"/>
        </w:rPr>
      </w:pPr>
      <w:r>
        <w:rPr>
          <w:color w:val="000000" w:themeColor="text1"/>
          <w:spacing w:val="-6"/>
          <w:sz w:val="24"/>
          <w:szCs w:val="24"/>
          <w:highlight w:val="none"/>
        </w:rPr>
        <w:t xml:space="preserve">3.10 </w:t>
      </w:r>
      <w:r>
        <w:rPr>
          <w:color w:val="000000" w:themeColor="text1"/>
          <w:spacing w:val="-6"/>
          <w:sz w:val="24"/>
          <w:szCs w:val="24"/>
        </w:rPr>
        <w:t xml:space="preserve"> </w:t>
      </w:r>
      <w:r>
        <w:rPr>
          <w:color w:val="000000" w:themeColor="text1"/>
          <w:spacing w:val="-6"/>
          <w:sz w:val="24"/>
          <w:szCs w:val="24"/>
          <w:highlight w:val="white"/>
        </w:rPr>
        <w:t xml:space="preserve">Непредвиденные работы и затраты оплачиваются за фактически выполненные работы. Объем работ, выполняемый Подрядчиком, должен быть предварительно согласован с Заказчиком и выполняться на основании утвержденных Заказчиком локальных</w:t>
      </w:r>
      <w:r>
        <w:rPr>
          <w:color w:val="000000" w:themeColor="text1"/>
          <w:spacing w:val="-6"/>
          <w:sz w:val="24"/>
          <w:szCs w:val="24"/>
          <w:highlight w:val="white"/>
        </w:rPr>
        <w:t xml:space="preserve"> смет, в рамках Лимита на непредвиденные работы и затраты, предусмотренного утвержденным Сводным сметным расчетом (Приложение №2 к Договору). Приемка выполненного объема работ производится одновременно с Работами по Договору при подписании Стор</w:t>
      </w:r>
      <w:r>
        <w:rPr>
          <w:color w:val="000000" w:themeColor="text1"/>
          <w:spacing w:val="-6"/>
          <w:sz w:val="24"/>
          <w:szCs w:val="24"/>
          <w:highlight w:val="white"/>
        </w:rPr>
        <w:t xml:space="preserve">онами Актов КС-2 </w:t>
      </w:r>
      <w:r>
        <w:rPr>
          <w:color w:val="000000" w:themeColor="text1"/>
          <w:spacing w:val="-6"/>
          <w:sz w:val="24"/>
          <w:szCs w:val="24"/>
          <w:highlight w:val="white"/>
        </w:rPr>
        <w:t xml:space="preserve">в соответствии с пунктом 4.1 Договора. Оплата в размере 100 (ста) процентов от стоимости непредвиденных работ и затрат производится Заказчиком в течение 7 (семи) рабочих дней с даты подписания Акта КС-2 </w:t>
      </w:r>
      <w:r>
        <w:rPr>
          <w:color w:val="000000" w:themeColor="text1"/>
          <w:spacing w:val="-6"/>
          <w:sz w:val="24"/>
          <w:szCs w:val="24"/>
          <w:highlight w:val="white"/>
        </w:rPr>
        <w:t xml:space="preserve">(Приложение №8 к Договору)</w:t>
      </w:r>
      <w:r>
        <w:rPr>
          <w:color w:val="000000" w:themeColor="text1"/>
          <w:spacing w:val="-6"/>
          <w:sz w:val="24"/>
          <w:szCs w:val="24"/>
          <w:highlight w:val="white"/>
        </w:rPr>
        <w:t xml:space="preserve"> и Справки КС-3 </w:t>
      </w:r>
      <w:r>
        <w:rPr>
          <w:color w:val="000000" w:themeColor="text1"/>
          <w:spacing w:val="-6"/>
          <w:sz w:val="24"/>
          <w:szCs w:val="24"/>
          <w:highlight w:val="white"/>
        </w:rPr>
        <w:t xml:space="preserve">(Приложение №9 к Договору)</w:t>
      </w:r>
      <w:r>
        <w:rPr>
          <w:color w:val="000000" w:themeColor="text1"/>
          <w:spacing w:val="-6"/>
          <w:sz w:val="24"/>
          <w:szCs w:val="24"/>
          <w:highlight w:val="white"/>
        </w:rPr>
        <w:t xml:space="preserve"> </w:t>
      </w:r>
      <w:r>
        <w:rPr>
          <w:color w:val="000000" w:themeColor="text1"/>
          <w:spacing w:val="-6"/>
          <w:sz w:val="24"/>
          <w:szCs w:val="24"/>
          <w:highlight w:val="white"/>
        </w:rPr>
        <w:t xml:space="preserve">на основании счета, выставленного Подрядчиком, и с учетом пункта 3.6. Стоимость непредвиденных работ и затрат включается в общую сумму Акта КС-2 (Приложение №8 к Договору), подписываемого Сторонами в соответствии с пунктом 4.1 Договора.</w:t>
      </w:r>
      <w:r>
        <w:rPr>
          <w:color w:val="000000" w:themeColor="text1"/>
          <w:spacing w:val="-6"/>
          <w:sz w:val="24"/>
          <w:szCs w:val="24"/>
          <w:highlight w:val="white"/>
        </w:rPr>
      </w:r>
      <w:r>
        <w:rPr>
          <w:color w:val="000000" w:themeColor="text1"/>
          <w:spacing w:val="-6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widowControl w:val="off"/>
        <w:tabs>
          <w:tab w:val="left" w:pos="0" w:leader="none"/>
        </w:tabs>
        <w:rPr>
          <w:color w:val="000000" w:themeColor="text1"/>
          <w:spacing w:val="-6"/>
          <w:sz w:val="24"/>
          <w:szCs w:val="24"/>
        </w:rPr>
      </w:pPr>
      <w:r>
        <w:rPr>
          <w:color w:val="000000" w:themeColor="text1"/>
          <w:spacing w:val="-6"/>
          <w:sz w:val="24"/>
          <w:szCs w:val="24"/>
        </w:rPr>
        <w:tab/>
        <w:t xml:space="preserve">3.11.</w:t>
        <w:tab/>
      </w:r>
      <w:r>
        <w:rPr>
          <w:color w:val="000000" w:themeColor="text1"/>
          <w:spacing w:val="-6"/>
          <w:sz w:val="24"/>
          <w:szCs w:val="24"/>
          <w:highlight w:val="none"/>
        </w:rPr>
        <w:t xml:space="preserve">Мат</w:t>
      </w:r>
      <w:r>
        <w:rPr>
          <w:color w:val="000000" w:themeColor="text1"/>
          <w:spacing w:val="-6"/>
          <w:sz w:val="24"/>
          <w:szCs w:val="24"/>
          <w:highlight w:val="none"/>
        </w:rPr>
        <w:t xml:space="preserve">ериалы, учтенные в сметах по данным Заказчика  –  ПК «Ресурсная карта» и по текущим ценам, подлежат оплате на основании платёжных документов (УПД накладная, платежное поручение банка и др.) по нормативному расходу. Материалы, учтённые в расценках</w:t>
      </w:r>
      <w:r>
        <w:rPr>
          <w:color w:val="000000" w:themeColor="text1"/>
          <w:spacing w:val="-6"/>
          <w:sz w:val="24"/>
          <w:szCs w:val="24"/>
          <w:highlight w:val="none"/>
        </w:rPr>
        <w:t xml:space="preserve"> </w:t>
      </w:r>
      <w:r>
        <w:rPr>
          <w:color w:val="000000" w:themeColor="text1"/>
          <w:spacing w:val="-6"/>
          <w:sz w:val="24"/>
          <w:szCs w:val="24"/>
          <w:highlight w:val="none"/>
        </w:rPr>
        <w:t xml:space="preserve">по сборникам ФССЦ, подтверждать платёжными документами не требуется. Поставляемые материалы должны соответствовать спецификациям, указанным в нормативной документации, иметь соответствующие сертификаты, технические паспорта и другие документы, подтверждающ</w:t>
      </w:r>
      <w:r>
        <w:rPr>
          <w:color w:val="000000" w:themeColor="text1"/>
          <w:spacing w:val="-6"/>
          <w:sz w:val="24"/>
          <w:szCs w:val="24"/>
          <w:highlight w:val="none"/>
        </w:rPr>
        <w:t xml:space="preserve">ие их качество</w:t>
      </w:r>
      <w:r>
        <w:rPr>
          <w:color w:val="000000" w:themeColor="text1"/>
          <w:spacing w:val="-6"/>
          <w:sz w:val="24"/>
          <w:szCs w:val="24"/>
        </w:rPr>
        <w:t xml:space="preserve">.</w:t>
      </w:r>
      <w:r>
        <w:rPr>
          <w:color w:val="000000" w:themeColor="text1"/>
          <w:spacing w:val="-6"/>
          <w:sz w:val="24"/>
          <w:szCs w:val="24"/>
        </w:rPr>
      </w:r>
      <w:r>
        <w:rPr>
          <w:color w:val="000000" w:themeColor="text1"/>
          <w:spacing w:val="-6"/>
          <w:sz w:val="24"/>
          <w:szCs w:val="24"/>
        </w:rPr>
      </w:r>
    </w:p>
    <w:p>
      <w:pPr>
        <w:ind w:left="0" w:right="0" w:firstLine="709"/>
        <w:jc w:val="both"/>
        <w:spacing w:line="276" w:lineRule="auto"/>
        <w:widowControl w:val="off"/>
        <w:tabs>
          <w:tab w:val="left" w:pos="0" w:leader="none"/>
        </w:tabs>
      </w:pPr>
      <w:r>
        <w:rPr>
          <w:highlight w:val="none"/>
        </w:rPr>
      </w:r>
      <w:r>
        <w:rPr>
          <w:sz w:val="24"/>
          <w:szCs w:val="24"/>
        </w:rPr>
        <w:t xml:space="preserve">3.12.</w:t>
        <w:tab/>
        <w:t xml:space="preserve"> В случае снижения заявленной стоимости путём ввода </w:t>
      </w:r>
      <w:r>
        <w:rPr>
          <w:sz w:val="24"/>
          <w:szCs w:val="24"/>
        </w:rPr>
        <w:t xml:space="preserve">в сметы «понижающего коэффициента», учтённый в окончательной смете понижающий коэффициент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 подряда.</w:t>
      </w:r>
      <w:r>
        <w:t xml:space="preserve"> </w:t>
      </w:r>
      <w:r/>
    </w:p>
    <w:p>
      <w:pPr>
        <w:ind w:left="0" w:right="0" w:firstLine="709"/>
        <w:jc w:val="both"/>
        <w:spacing w:line="276" w:lineRule="auto"/>
        <w:widowControl w:val="off"/>
        <w:tabs>
          <w:tab w:val="left" w:pos="0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3.13.</w:t>
        <w:tab/>
        <w:t xml:space="preserve">Индексация Цены Договора не допускается.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76" w:lineRule="auto"/>
        <w:widowControl w:val="off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  <w:t xml:space="preserve">3.14.</w:t>
      </w:r>
      <w:r>
        <w:rPr>
          <w:sz w:val="24"/>
          <w:szCs w:val="24"/>
          <w:highlight w:val="none"/>
        </w:rPr>
        <w:t xml:space="preserve"> За</w:t>
      </w:r>
      <w:r>
        <w:rPr>
          <w:sz w:val="24"/>
          <w:szCs w:val="24"/>
          <w:highlight w:val="white"/>
        </w:rPr>
        <w:t xml:space="preserve">траты на командировочные расходы на стадии выполнения, определяются по фактическим затратам в пределах учтенной в смете величины, с учетом суточных в размере 500 рублей в сутки.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76" w:lineRule="auto"/>
        <w:widowControl w:val="off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Командировочные расходы включаются в стоимость Работ по Договору в соответствии с расчетом, прил</w:t>
      </w:r>
      <w:r>
        <w:rPr>
          <w:sz w:val="24"/>
          <w:szCs w:val="24"/>
          <w:highlight w:val="white"/>
        </w:rPr>
        <w:t xml:space="preserve">агаемым к Локальному сметному расчету. 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нормативов возмещения ра</w:t>
      </w:r>
      <w:r>
        <w:rPr>
          <w:sz w:val="24"/>
          <w:szCs w:val="24"/>
          <w:highlight w:val="white"/>
        </w:rPr>
        <w:t xml:space="preserve">сходов, связанных со служебными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Договором для оплаты стоимо</w:t>
      </w:r>
      <w:r>
        <w:rPr>
          <w:sz w:val="24"/>
          <w:szCs w:val="24"/>
          <w:highlight w:val="white"/>
        </w:rPr>
        <w:t xml:space="preserve">сти соответствующих Работ по Договору. Подрядчик обязан представлять по запросу Заказчика копии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sz w:val="10"/>
          <w:szCs w:val="10"/>
        </w:rPr>
      </w:pPr>
      <w:r>
        <w:rPr>
          <w:sz w:val="14"/>
          <w:szCs w:val="14"/>
        </w:rPr>
      </w: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pStyle w:val="1184"/>
        <w:numPr>
          <w:ilvl w:val="0"/>
          <w:numId w:val="34"/>
        </w:numPr>
        <w:ind w:left="0" w:right="0" w:firstLine="709"/>
        <w:jc w:val="center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Порядок сдачи-приемки Работ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shd w:val="clear" w:color="auto" w:fill="ffffff"/>
        <w:tabs>
          <w:tab w:val="left" w:pos="0" w:leader="none"/>
        </w:tabs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 фактически выполненным работам Подрядчик предоставляет Заказчику в срок не позднее 25-го числа месяца,  подписанные со своей стороны в полном объеме необходимую для приемки Работ приемо-сдаточную и исполнительную документацию:</w:t>
      </w:r>
      <w:r/>
    </w:p>
    <w:p>
      <w:pPr>
        <w:pStyle w:val="1184"/>
        <w:numPr>
          <w:ilvl w:val="0"/>
          <w:numId w:val="109"/>
        </w:numPr>
        <w:ind w:lef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pacing w:val="2"/>
        </w:rPr>
      </w:pPr>
      <w:r>
        <w:rPr>
          <w:spacing w:val="2"/>
        </w:rPr>
        <w:t xml:space="preserve">акт о приёмке выполненных работ по форме КС-2 (Приложение №8 к Договору) в 3-х экземплярах;</w:t>
      </w:r>
      <w:r>
        <w:rPr>
          <w:spacing w:val="2"/>
        </w:rPr>
      </w:r>
      <w:r>
        <w:rPr>
          <w:spacing w:val="2"/>
        </w:rPr>
      </w:r>
    </w:p>
    <w:p>
      <w:pPr>
        <w:pStyle w:val="1184"/>
        <w:numPr>
          <w:ilvl w:val="0"/>
          <w:numId w:val="109"/>
        </w:numPr>
        <w:ind w:lef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pacing w:val="2"/>
        </w:rPr>
      </w:pPr>
      <w:r>
        <w:rPr>
          <w:spacing w:val="2"/>
        </w:rPr>
        <w:t xml:space="preserve">справку о стоимости выполненных работ и затрат по форме КС-3 (Приложение №9 к Договору) в 3-х экземплярах</w:t>
      </w:r>
      <w:r>
        <w:t xml:space="preserve">;</w:t>
      </w:r>
      <w:r>
        <w:rPr>
          <w:spacing w:val="2"/>
        </w:rPr>
      </w:r>
      <w:r>
        <w:rPr>
          <w:spacing w:val="2"/>
        </w:rPr>
      </w:r>
    </w:p>
    <w:p>
      <w:pPr>
        <w:pStyle w:val="1184"/>
        <w:numPr>
          <w:ilvl w:val="0"/>
          <w:numId w:val="109"/>
        </w:numPr>
        <w:ind w:lef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pacing w:val="2"/>
        </w:rPr>
      </w:pPr>
      <w:r>
        <w:rPr>
          <w:spacing w:val="2"/>
        </w:rPr>
        <w:t xml:space="preserve">комплект и</w:t>
      </w:r>
      <w:r>
        <w:rPr>
          <w:spacing w:val="2"/>
        </w:rPr>
        <w:t xml:space="preserve">сполнительной документации;</w:t>
      </w:r>
      <w:r>
        <w:rPr>
          <w:spacing w:val="2"/>
        </w:rPr>
      </w:r>
      <w:r>
        <w:rPr>
          <w:spacing w:val="2"/>
        </w:rPr>
      </w:r>
    </w:p>
    <w:p>
      <w:pPr>
        <w:pStyle w:val="1184"/>
        <w:numPr>
          <w:ilvl w:val="0"/>
          <w:numId w:val="109"/>
        </w:numPr>
        <w:ind w:lef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pacing w:val="2"/>
        </w:rPr>
      </w:pPr>
      <w:r>
        <w:rPr>
          <w:spacing w:val="2"/>
          <w:highlight w:val="none"/>
        </w:rPr>
        <w:t xml:space="preserve">Акт ОС-3 в 2-х экземплярах (Приложение №10 к Договору).</w:t>
      </w:r>
      <w:r>
        <w:rPr>
          <w:spacing w:val="2"/>
        </w:rPr>
      </w:r>
      <w:r>
        <w:rPr>
          <w:spacing w:val="2"/>
        </w:rPr>
      </w:r>
    </w:p>
    <w:p>
      <w:pPr>
        <w:ind w:firstLine="0"/>
        <w:spacing w:line="276" w:lineRule="auto"/>
        <w:tabs>
          <w:tab w:val="left" w:pos="0" w:leader="none"/>
        </w:tabs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ab/>
        <w:t xml:space="preserve">И</w:t>
      </w:r>
      <w:r>
        <w:rPr>
          <w:sz w:val="24"/>
          <w:szCs w:val="24"/>
        </w:rPr>
        <w:t xml:space="preserve">сполнительная документация должна обеспечивать достоверность и полноту сведений о фактически выполненных Работах. </w:t>
      </w:r>
      <w:r>
        <w:rPr>
          <w:spacing w:val="2"/>
          <w:sz w:val="24"/>
          <w:szCs w:val="24"/>
        </w:rPr>
        <w:t xml:space="preserve">Указанные документы подписываются уполномоченным представителем Подрядчика и скрепляются печатью Подрядчика (если иное не предусмотрено законодательством РФ).</w:t>
      </w:r>
      <w:r>
        <w:rPr>
          <w:spacing w:val="2"/>
          <w:sz w:val="24"/>
          <w:szCs w:val="24"/>
        </w:rPr>
      </w:r>
      <w:r>
        <w:rPr>
          <w:spacing w:val="2"/>
          <w:sz w:val="24"/>
          <w:szCs w:val="24"/>
        </w:rPr>
      </w:r>
    </w:p>
    <w:p>
      <w:pPr>
        <w:ind w:firstLine="709"/>
        <w:spacing w:line="276" w:lineRule="auto"/>
        <w:shd w:val="clear" w:color="auto" w:fill="ffffff"/>
        <w:tabs>
          <w:tab w:val="left" w:pos="0" w:leader="none"/>
        </w:tabs>
      </w:pPr>
      <w:r>
        <w:rPr>
          <w:spacing w:val="2"/>
          <w:sz w:val="24"/>
          <w:szCs w:val="24"/>
        </w:rPr>
        <w:t xml:space="preserve">Непредставление Подрядчиком документов, указанных в настоящем пункте, расценивается Сторонами как нарушение порядка приёмки работ и является основанием для отказа Заказчика от приёмки выполненных работ</w:t>
      </w:r>
      <w:r>
        <w:t xml:space="preserve">.</w:t>
      </w:r>
      <w:r>
        <w:rPr>
          <w:spacing w:val="2"/>
        </w:rPr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</w:pPr>
      <w:r>
        <w:t xml:space="preserve">В течение 5 (пяти) рабочих дней с даты получения полного комплекта документов, указанных в пункте 4.1. Договора, Заказчик подписывает и передает Подрядчи</w:t>
      </w:r>
      <w:r>
        <w:t xml:space="preserve">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и/или дефекты Работ, а также срок на их устранение.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</w:pPr>
      <w:r>
        <w:t xml:space="preserve">По результатам приемки выполненных работ Подрядчик обязан подписать акты ОС-3, сформированные Заказчиком и вернуть Заказчику в течение 3-х (трех) календарных дней.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</w:pPr>
      <w:r>
        <w:t xml:space="preserve">Устранение указанных недостатков, несоответствий и/или дефектов, выявленных Заказчиком, осуществ</w:t>
      </w:r>
      <w:r>
        <w:t xml:space="preserve">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</w:pPr>
      <w: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4.1- 4.3 Договора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Если Подрядчик не устранит недостатки, несоответствия и/или дефекты Работ в срок, установленный Заказчиком в соответствии с пунктом 4.4. Договора, Заказчик вправе </w:t>
      </w:r>
      <w:r>
        <w:t xml:space="preserve">собственными силами и/или силами третьих лиц выполнить работы по устранению нед</w:t>
      </w:r>
      <w:r>
        <w:t xml:space="preserve">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Подрядчик </w:t>
      </w:r>
      <w:r>
        <w:rPr>
          <w:sz w:val="24"/>
          <w:szCs w:val="24"/>
        </w:rPr>
        <w:t xml:space="preserve">обязан представить заказчику УПД, выставленный в сроки и оформленный в порядке, установленном законодательством Российской Федерации. В случае нарушения </w:t>
      </w:r>
      <w:r>
        <w:rPr>
          <w:sz w:val="24"/>
          <w:szCs w:val="24"/>
        </w:rPr>
        <w:t xml:space="preserve">Подрядчиком данного требования он обязан произвести замену УПД в течение 3</w:t>
      </w:r>
      <w:r>
        <w:rPr>
          <w:sz w:val="24"/>
          <w:szCs w:val="24"/>
        </w:rPr>
        <w:t xml:space="preserve"> (трех) </w:t>
      </w:r>
      <w:r>
        <w:rPr>
          <w:sz w:val="24"/>
          <w:szCs w:val="24"/>
        </w:rPr>
        <w:t xml:space="preserve">рабочих дней с даты получения соответствующего письменного требования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50" w:right="0" w:firstLine="0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36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bookmarkStart w:id="16" w:name="_GoBack"/>
      <w:r>
        <w:rPr>
          <w:b/>
          <w:bCs/>
        </w:rPr>
      </w:r>
      <w:bookmarkEnd w:id="16"/>
      <w:r>
        <w:rPr>
          <w:b/>
          <w:bCs/>
        </w:rPr>
      </w:r>
      <w:r>
        <w:rPr>
          <w:b/>
          <w:bCs/>
        </w:rPr>
      </w:r>
    </w:p>
    <w:p>
      <w:pPr>
        <w:ind w:left="709" w:right="0" w:firstLine="0"/>
        <w:jc w:val="left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</w:pPr>
      <w:r/>
      <w:bookmarkStart w:id="17" w:name="_Ref361405028"/>
      <w:r>
        <w:t xml:space="preserve">Р</w:t>
      </w:r>
      <w:bookmarkEnd w:id="17"/>
      <w:r>
        <w:t xml:space="preserve">иск случайной гибели или повреждения Результата Работ в отношении каждого Объекта, включая Материально-техни</w:t>
      </w:r>
      <w:r>
        <w:t xml:space="preserve">ческие ресурсы, переходит к Заказчику с момента подписания </w:t>
      </w:r>
      <w:commentRangeStart w:id="0"/>
      <w:r>
        <w:t xml:space="preserve">последнего Акта</w:t>
      </w:r>
      <w:commentRangeEnd w:id="0"/>
      <w:r>
        <w:commentReference w:id="0"/>
      </w:r>
      <w:r>
        <w:t xml:space="preserve"> КС-2 ( Приложение №8 к договору) по Объекту. До подписания Сторонами указанного Акта риск случайной гибели или повреждения Результата Работ по Объекту и Материально-технических ресурсов, несет Подрядчик.</w:t>
      </w:r>
      <w:r/>
    </w:p>
    <w:p>
      <w:pPr>
        <w:ind w:left="450" w:right="0" w:firstLine="0"/>
        <w:jc w:val="both"/>
        <w:shd w:val="clear" w:color="auto" w:fill="ffffff"/>
        <w:widowControl w:val="off"/>
        <w:tabs>
          <w:tab w:val="left" w:pos="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84"/>
        <w:numPr>
          <w:ilvl w:val="0"/>
          <w:numId w:val="36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ind w:left="709" w:right="0" w:firstLine="0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</w:t>
      </w:r>
      <w:r>
        <w:t xml:space="preserve">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/>
    </w:p>
    <w:p>
      <w:pPr>
        <w:numPr>
          <w:ilvl w:val="1"/>
          <w:numId w:val="36"/>
        </w:numPr>
        <w:ind w:left="0" w:righ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Заказчиком сроков оплаты, установленных разделом 3. Договора, Подрядчик вправе требовать уплаты Заказчиком исключительной неустойки в размере 0,1 (ноль целых одна десятая) процента от несвоевременно оплаченной с</w:t>
      </w:r>
      <w:r>
        <w:rPr>
          <w:sz w:val="24"/>
          <w:szCs w:val="24"/>
        </w:rPr>
        <w:t xml:space="preserve">уммы за каждый день просрочки, </w:t>
      </w:r>
      <w:r>
        <w:rPr>
          <w:sz w:val="24"/>
          <w:szCs w:val="24"/>
        </w:rPr>
        <w:t xml:space="preserve">начиная с 31 (тридцать первого) календарного дня просрочки</w:t>
      </w:r>
      <w:r>
        <w:t xml:space="preserve"> </w:t>
      </w:r>
      <w:r>
        <w:rPr>
          <w:sz w:val="24"/>
        </w:rPr>
        <w:t xml:space="preserve">(неустойка с 1 по 30 день просрочки не начисляется).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righ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Подрядчиком обязательств по выполнению Работ, </w:t>
      </w:r>
      <w:r>
        <w:rPr>
          <w:bCs/>
          <w:sz w:val="24"/>
          <w:highlight w:val="white"/>
        </w:rPr>
        <w:t xml:space="preserve">в том числе срока выполнения Работ,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0,1 (ноль </w:t>
      </w:r>
      <w:r>
        <w:rPr>
          <w:bCs/>
          <w:sz w:val="24"/>
          <w:szCs w:val="24"/>
          <w:highlight w:val="white"/>
        </w:rPr>
        <w:t xml:space="preserve">целых одна десятая) процента от цены договора за каждый день просрочки.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</w:t>
      </w:r>
      <w:r>
        <w:t xml:space="preserve">храны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требовать уплаты Подрядчиком штрафа в размерах, установленных Приложением № 4 к Договору.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Подрядчик несет ответственность перед Заказчиком за причи</w:t>
      </w:r>
      <w: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Обязанность по уплате неустойки и/или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Уплата неустойки и/или штрафа не освобождает Стороны от исполнения обязательств по Договору, обязанности по устранению допущенных нарушений условий Договора и/или их последствий.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Учитывая, что для Заказчика надлежащее и своевременное выполнение Подрядчико</w:t>
      </w:r>
      <w: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</w:t>
      </w:r>
      <w:r>
        <w:t xml:space="preserve">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</w:t>
      </w:r>
      <w:r>
        <w:t xml:space="preserve">ется на основании решения суда.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rFonts w:eastAsia="Calibri"/>
        </w:rPr>
        <w:t xml:space="preserve">В случае нарушения Подрядчиком обязательств по выполнению работ, на срок свыше 60 (шестидесяти) календарных дней, Заказчик имеет право </w:t>
      </w:r>
      <w:r>
        <w:t xml:space="preserve">расторгнуть Договор в одностороннем внесудебном порядке, а также</w:t>
      </w:r>
      <w:r>
        <w:t xml:space="preserve"> потребовать возмещения убытков.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color w:val="ff0000"/>
          <w:sz w:val="24"/>
          <w:szCs w:val="24"/>
        </w:rPr>
      </w:pPr>
      <w:r>
        <w:t xml:space="preserve">Если в результате составления и выставления Подрядчиком УПД с нарушением порядка и</w:t>
      </w:r>
      <w:r>
        <w:t xml:space="preserve">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</w:t>
      </w:r>
      <w:r>
        <w:t xml:space="preserve">Основанием для </w:t>
      </w:r>
      <w:r>
        <w:t xml:space="preserve">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</w:t>
      </w:r>
      <w:r>
        <w:t xml:space="preserve">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В случае нарушения Подрядчиком сроков, предусмотренных пунктом 4.8. Договора, Заказчик также имеет право требовать от Подрядчика уплаты штрафа в размере 50 000 (пятидесяти тысяч) рублей за каждый случай нарушения</w:t>
      </w:r>
      <w:r>
        <w:rPr>
          <w:color w:val="auto"/>
          <w:sz w:val="24"/>
          <w:szCs w:val="24"/>
        </w:rPr>
        <w:t xml:space="preserve">.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left="450" w:right="0" w:firstLine="0"/>
        <w:jc w:val="both"/>
        <w:spacing w:line="276" w:lineRule="auto"/>
        <w:shd w:val="clear" w:color="auto" w:fill="ffffff"/>
        <w:tabs>
          <w:tab w:val="left" w:pos="0" w:leader="none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  <w:highlight w:val="none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1184"/>
        <w:numPr>
          <w:ilvl w:val="0"/>
          <w:numId w:val="36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Гарантии качества Результата Работ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/>
      <w:bookmarkStart w:id="18" w:name="_Ref361337777"/>
      <w:r>
        <w:t xml:space="preserve"> Гарантийный срок по Договору составляет 24 (двадцать четыре) месяца и начинается с даты подписания Сторонами последнего Акта КС-2 (Приложение №9 к Договору) </w:t>
      </w:r>
      <w:bookmarkEnd w:id="18"/>
      <w:r>
        <w:t xml:space="preserve">по Объекту, либо с даты прекращения (расторжения) Договора. Гарантийный срок может быть продлен в соответствии с условиями Договора.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Гарантийные обязательства Подрядчика наступают с даты подписания </w:t>
      </w:r>
      <w:r>
        <w:t xml:space="preserve">Акта КС-2 </w:t>
      </w:r>
      <w:r>
        <w:t xml:space="preserve">(Приложение №9 к Договору) </w:t>
      </w:r>
      <w:r>
        <w:t xml:space="preserve">либо даты прекращения (расторжения) Договора (подписания Сторонами соглашения о расторжении Договора, получения любой из Сторон уведомления об отказе от Договора или иного документа, свидетельствующего о воле Стороны, направленной на расторжение </w:t>
      </w:r>
      <w:r>
        <w:t xml:space="preserve">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t xml:space="preserve">иком недостатки, несоответствия и/или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19" w:name="_Ref361337764"/>
      <w:r>
        <w:t xml:space="preserve">В случае обнаружения в период Гарантийного срока недостатков, несоответствий </w:t>
      </w:r>
      <w:r>
        <w:rPr>
          <w:sz w:val="24"/>
          <w:szCs w:val="24"/>
        </w:rPr>
        <w:t xml:space="preserve">и/или дефектов Результата Работ, Заказчик направляет Подрядчику письменное уведомлени</w:t>
      </w:r>
      <w:r>
        <w:rPr>
          <w:sz w:val="24"/>
          <w:szCs w:val="24"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19"/>
      <w:r>
        <w:rPr>
          <w:sz w:val="24"/>
          <w:szCs w:val="24"/>
        </w:rPr>
        <w:t xml:space="preserve">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Наличие и полный перечень недостатков, несоотв</w:t>
      </w:r>
      <w:r>
        <w:t xml:space="preserve">етствий и/или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Подрядчик обязан своими силами и за свой счет устранить недостатки, несоответствия и/или дефекты, обнаруженные Заказчиком в течение Гарантийного срока, в срок, указанный в </w:t>
      </w:r>
      <w:bookmarkStart w:id="20" w:name="OLE_LINK5"/>
      <w:r/>
      <w:bookmarkStart w:id="21" w:name="OLE_LINK6"/>
      <w:r>
        <w:t xml:space="preserve">Акте о недостатках, составленном в порядке, установленном пунктом 7.5. Договора</w:t>
      </w:r>
      <w:bookmarkEnd w:id="20"/>
      <w:r/>
      <w:bookmarkEnd w:id="21"/>
      <w:r>
        <w:t xml:space="preserve">.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Если Подрядчик не устранит недостатки в установленный срок, Заказчик вправе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</w:t>
      </w:r>
      <w:r>
        <w:t xml:space="preserve">тствующих расходов. Подрядчик обязан возместить стоимость расходов Заказчика на устранение недостатков, несоответствий и/или дефектов Результата Работ в течение 10 (десяти) рабочих дней с даты получения соответствующего письменного требования Заказчика.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/>
    </w:p>
    <w:p>
      <w:pPr>
        <w:ind w:left="450" w:right="0" w:firstLine="0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84"/>
        <w:numPr>
          <w:ilvl w:val="0"/>
          <w:numId w:val="36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</w:t>
      </w:r>
      <w:r>
        <w:t xml:space="preserve">а, в любом другом виде, а также полученная Подрядчиком самостоятельно в ходе визитов на ремонтную площадку,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/>
    </w:p>
    <w:p>
      <w:pPr>
        <w:pStyle w:val="1184"/>
        <w:numPr>
          <w:ilvl w:val="0"/>
          <w:numId w:val="62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2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Информация может включать в себя, в том числе, но не ограничиваясь:</w:t>
      </w:r>
      <w:r/>
    </w:p>
    <w:p>
      <w:pPr>
        <w:pStyle w:val="1184"/>
        <w:numPr>
          <w:ilvl w:val="0"/>
          <w:numId w:val="63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финансовую </w:t>
      </w:r>
      <w:r>
        <w:rPr>
          <w:sz w:val="24"/>
          <w:szCs w:val="24"/>
          <w:lang w:val="en-US"/>
        </w:rPr>
        <w:t xml:space="preserve">(</w:t>
      </w:r>
      <w:r>
        <w:rPr>
          <w:sz w:val="24"/>
          <w:szCs w:val="24"/>
        </w:rPr>
        <w:t xml:space="preserve">бухгалтерскую) отчетность;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3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учетные регистры бухгалтерского учета;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3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бизнес – планы;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3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3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3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3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3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3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22" w:name="_Ref361337849"/>
      <w: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 (расторжения) или исполнения, в том числе:</w:t>
      </w:r>
      <w:bookmarkEnd w:id="22"/>
      <w:r>
        <w:t xml:space="preserve"> </w:t>
      </w:r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не разглашать, не обсуждать содержание, не предоставлят</w:t>
      </w:r>
      <w: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8.6.7 Договора;</w:t>
      </w:r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принимать меры предосторожности, обычно используемые для защиты такого рода ин</w:t>
      </w:r>
      <w:r>
        <w:t xml:space="preserve">формации в деловом обороте, при этом если Подрядчиком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</w:t>
      </w:r>
      <w:r>
        <w:t xml:space="preserve">Информации</w:t>
      </w:r>
      <w:r>
        <w:t xml:space="preserve"> обычно используемые им меры защиты;</w:t>
      </w:r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использовать Информацию исключительно для целей, для которых она была предоставлена; </w:t>
      </w:r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 возникновения угро</w:t>
      </w:r>
      <w: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23" w:name="_Ref361337832"/>
      <w:r>
        <w:t xml:space="preserve"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</w:t>
      </w:r>
      <w:r>
        <w:t xml:space="preserve">требуемом для исполнения Договора, оставаясь ответственным за действия таких лиц, как за свои собственные;</w:t>
      </w:r>
      <w:bookmarkEnd w:id="23"/>
      <w:r/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не разглашать третьим лицам факты передачи или получения Информации.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24" w:name="_Ref361337863"/>
      <w: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4"/>
      <w:r/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/>
    </w:p>
    <w:p>
      <w:pPr>
        <w:ind w:left="450" w:right="0" w:firstLine="0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84"/>
        <w:numPr>
          <w:ilvl w:val="0"/>
          <w:numId w:val="36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</w:pPr>
      <w:r>
        <w:rPr>
          <w:b/>
          <w:bCs/>
        </w:rPr>
        <w:t xml:space="preserve">Антикоррупционная оговорка</w:t>
      </w:r>
      <w:r/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10"/>
          <w:szCs w:val="10"/>
        </w:rPr>
      </w:pPr>
      <w:r>
        <w:rPr>
          <w:sz w:val="14"/>
          <w:szCs w:val="14"/>
        </w:rPr>
      </w: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Стороны обязуются обеспечить, чтобы при исполнении обязательств, возникающих по Договору  или в связи с ним, их аффилированные лица, работники и/или пре</w:t>
      </w:r>
      <w: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представителем другой С</w:t>
      </w:r>
      <w: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 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</w:t>
      </w:r>
      <w:r>
        <w:t xml:space="preserve">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  Стороны в целом, так и для конкретных работников уведомившей Стороны, сообщивших о факте нарушения.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Каналы связи Линия доверия Группы </w:t>
      </w:r>
      <w:r>
        <w:t xml:space="preserve">РусГидро</w:t>
      </w:r>
      <w:r>
        <w:t xml:space="preserve">: </w:t>
      </w:r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Электронная почта: </w:t>
      </w:r>
      <w:hyperlink r:id="rId14" w:tooltip="mailto:ld@rushydro.ru" w:history="1">
        <w:r>
          <w:rPr>
            <w:rStyle w:val="1220"/>
            <w:color w:val="auto"/>
          </w:rPr>
          <w:t xml:space="preserve">ld@rushydro.ru</w:t>
        </w:r>
      </w:hyperlink>
      <w:r>
        <w:t xml:space="preserve">;</w:t>
      </w:r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Специальная форма «обратной связи», размещенная на официальном сайте в сети интернет: </w:t>
      </w:r>
      <w:hyperlink r:id="rId15" w:tooltip="http://www.rushydro.ru/" w:history="1">
        <w:r>
          <w:rPr>
            <w:rStyle w:val="1220"/>
            <w:color w:val="auto"/>
          </w:rPr>
          <w:t xml:space="preserve">http://www.rushydro.ru/</w:t>
        </w:r>
      </w:hyperlink>
      <w:r>
        <w:t xml:space="preserve"> (далее перейти по ссылке «Линия доверия» и заполнить поля специальной формы «обратной связи»);</w:t>
      </w:r>
      <w:r/>
    </w:p>
    <w:p>
      <w:pPr>
        <w:pStyle w:val="1184"/>
        <w:numPr>
          <w:ilvl w:val="2"/>
          <w:numId w:val="36"/>
        </w:numPr>
        <w:ind w:left="0" w:right="0" w:firstLine="709"/>
        <w:jc w:val="both"/>
        <w:spacing w:line="276" w:lineRule="auto"/>
        <w:tabs>
          <w:tab w:val="left" w:pos="0" w:leader="none"/>
        </w:tabs>
      </w:pPr>
      <w: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ind w:left="450" w:right="0" w:firstLine="0"/>
        <w:jc w:val="both"/>
        <w:spacing w:line="276" w:lineRule="auto"/>
        <w:tabs>
          <w:tab w:val="left" w:pos="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84"/>
        <w:numPr>
          <w:ilvl w:val="0"/>
          <w:numId w:val="36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6"/>
          <w:szCs w:val="6"/>
        </w:rPr>
      </w:pPr>
      <w:r>
        <w:rPr>
          <w:sz w:val="14"/>
          <w:szCs w:val="14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Стороны освоб</w:t>
      </w:r>
      <w: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t xml:space="preserve"> (пяти) календарных дней с момента возникновения таких обстоятельств, </w:t>
      </w:r>
      <w:r>
        <w:rPr>
          <w:sz w:val="24"/>
          <w:szCs w:val="24"/>
        </w:rPr>
        <w:t xml:space="preserve">письменно</w:t>
      </w:r>
      <w:r>
        <w:rPr>
          <w:sz w:val="10"/>
          <w:szCs w:val="10"/>
        </w:rPr>
        <w:t xml:space="preserve"> </w:t>
      </w:r>
      <w:r>
        <w:t xml:space="preserve">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Надлежащим (достаточным) доказательством наличия/возникновения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Отсутствие уведомления или </w:t>
      </w:r>
      <w: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t xml:space="preserve">я</w:t>
      </w:r>
      <w:r>
        <w:t xml:space="preserve">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 </w:t>
      </w:r>
      <w:r>
        <w:t xml:space="preserve">при этом любая из Сторон вправе отказаться от исполнения Договора в одностороннем внесудебном порядке.</w:t>
      </w:r>
      <w:r/>
    </w:p>
    <w:p>
      <w:pPr>
        <w:ind w:left="450" w:right="0" w:firstLine="0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84"/>
        <w:numPr>
          <w:ilvl w:val="0"/>
          <w:numId w:val="36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Особые положения.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6"/>
          <w:szCs w:val="6"/>
        </w:rPr>
      </w:pPr>
      <w:r>
        <w:rPr>
          <w:sz w:val="14"/>
          <w:szCs w:val="14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25" w:name="_Ref361337900"/>
      <w:r>
        <w:t xml:space="preserve">Подрядчик обязуется не привлекать и не допускать привлечения к исполнению обязательств по Договору организации:</w:t>
      </w:r>
      <w:r/>
    </w:p>
    <w:p>
      <w:pPr>
        <w:pStyle w:val="1184"/>
        <w:numPr>
          <w:ilvl w:val="0"/>
          <w:numId w:val="6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имеющие признаки недобросовестности, опред</w:t>
      </w:r>
      <w:r>
        <w:rPr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6" w:tooltip="consultantplus://offline/ref=94D5CE8889791A29DE57299515463A9D6134D8237B999C803E6F853513x2A2P" w:history="1">
        <w:r>
          <w:rPr>
            <w:sz w:val="24"/>
            <w:szCs w:val="24"/>
          </w:rPr>
          <w:t xml:space="preserve">№ 18162/09</w:t>
        </w:r>
      </w:hyperlink>
      <w:r>
        <w:rPr>
          <w:sz w:val="24"/>
          <w:szCs w:val="24"/>
        </w:rPr>
        <w:t xml:space="preserve"> и от 25.05.2010 </w:t>
      </w:r>
      <w:hyperlink r:id="rId17" w:tooltip="consultantplus://offline/ref=94D5CE8889791A29DE57299515463A9D6135D2287D929C803E6F853513x2A2P" w:history="1">
        <w:r>
          <w:rPr>
            <w:sz w:val="24"/>
            <w:szCs w:val="24"/>
          </w:rPr>
          <w:t xml:space="preserve">№ 15658/09</w:t>
        </w:r>
      </w:hyperlink>
      <w:r>
        <w:rPr>
          <w:sz w:val="24"/>
          <w:szCs w:val="24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</w:t>
      </w:r>
      <w:r>
        <w:rPr>
          <w:sz w:val="24"/>
          <w:szCs w:val="24"/>
        </w:rPr>
        <w:t xml:space="preserve">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4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соответствующие </w:t>
      </w:r>
      <w:hyperlink r:id="rId18" w:tooltip="consultantplus://offline/ref=79440D5123ABA6A25F43346AB59DBAAC7032C8E1556DA64FAED62E167F76889C2B7C475C32EFC59BJ8rDH" w:history="1">
        <w:r>
          <w:rPr>
            <w:sz w:val="24"/>
            <w:szCs w:val="24"/>
          </w:rPr>
          <w:t xml:space="preserve">Критери</w:t>
        </w:r>
      </w:hyperlink>
      <w:r>
        <w:rPr>
          <w:sz w:val="24"/>
          <w:szCs w:val="24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26" w:name="_Ref361337921"/>
      <w:r>
        <w:t xml:space="preserve">Подрядчик обязуется неза</w:t>
      </w:r>
      <w: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11.1 Договора, а также обеспечить прекращение участия таких организаций в исполнении Договора.</w:t>
      </w:r>
      <w:bookmarkEnd w:id="26"/>
      <w:r/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27" w:name="_Ref361337948"/>
      <w:r>
        <w:t xml:space="preserve">В случае нарушения Подрядчиком обязательств, установленных пунктами 11.1, 11.2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27"/>
      <w:r/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28" w:name="_Ref361337980"/>
      <w:r>
        <w:t xml:space="preserve">Подрядчик обязан уплатить Заказчику</w:t>
      </w:r>
      <w: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11.1, 11.2 Договора.</w:t>
      </w:r>
      <w:bookmarkEnd w:id="28"/>
      <w:r/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29" w:name="_Ref373243071"/>
      <w:r>
        <w:t xml:space="preserve">Штраф, предусмотренный пунктом 11.4 Договора, оплачивается Подрядчиком в течение 10 (десяти) рабочих д</w:t>
      </w:r>
      <w: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11.3 Договора.</w:t>
      </w:r>
      <w:bookmarkEnd w:id="29"/>
      <w:r/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30" w:name="_Ref361337992"/>
      <w:r>
        <w:t xml:space="preserve">Заказчик вправе приостановить осуществление любых платежей по Договору, причитающи</w:t>
      </w:r>
      <w: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11.4. Договора. При этом Заказчик не будет считаться просрочившим и/или нарушившим свои обязательства по Договору.</w:t>
      </w:r>
      <w:bookmarkEnd w:id="30"/>
      <w:r/>
      <w:r/>
    </w:p>
    <w:p>
      <w:pPr>
        <w:pStyle w:val="1184"/>
        <w:numPr>
          <w:ilvl w:val="1"/>
          <w:numId w:val="3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Независимо от других положений Договора, положения пунктов 11.4, 11.5 Договора продолжают действовать в течение 4-х (четырех) лет после его прекращения (расторжения) или исполнения.</w:t>
      </w:r>
      <w:r>
        <w:rPr>
          <w:highlight w:val="none"/>
        </w:rPr>
      </w:r>
      <w:r/>
    </w:p>
    <w:p>
      <w:pPr>
        <w:pStyle w:val="1184"/>
        <w:numPr>
          <w:ilvl w:val="0"/>
          <w:numId w:val="36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Заверения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6"/>
          <w:szCs w:val="6"/>
        </w:rPr>
      </w:pPr>
      <w:r>
        <w:rPr>
          <w:sz w:val="14"/>
          <w:szCs w:val="14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pStyle w:val="1184"/>
        <w:numPr>
          <w:ilvl w:val="1"/>
          <w:numId w:val="30"/>
        </w:numPr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Каждая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5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5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5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</w:t>
      </w:r>
      <w:r>
        <w:rPr>
          <w:sz w:val="24"/>
          <w:szCs w:val="24"/>
        </w:rPr>
        <w:t xml:space="preserve">брения Договора органами управления по основаниям, установленным законодательством Российской Федерации и/или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5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5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Подрядчик заявляет и заверяет Заказчика в том, что на момент заключения Договора:</w:t>
      </w:r>
      <w:r/>
    </w:p>
    <w:p>
      <w:pPr>
        <w:pStyle w:val="1184"/>
        <w:numPr>
          <w:ilvl w:val="0"/>
          <w:numId w:val="6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учредителем/учредителями Подрядчика являются лица, не являющиеся массовыми учредителем/учредителями;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руководителем Подрядчика является лицо, не являющееся массовым руководителем;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фактически находится по адресу, указанному в Едином государственном реестре юридических лиц;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rPr>
          <w:sz w:val="24"/>
          <w:szCs w:val="24"/>
        </w:rP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rPr>
          <w:sz w:val="24"/>
          <w:szCs w:val="24"/>
        </w:rP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и/или не требует получения иного разрешительного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тщательно изучил всю информацию, связанную с Догов</w:t>
      </w:r>
      <w:r>
        <w:rPr>
          <w:sz w:val="24"/>
          <w:szCs w:val="24"/>
        </w:rP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6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0"/>
        </w:numPr>
        <w:ind w:left="0" w:righ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highlight w:val="white"/>
        </w:rPr>
      </w:pPr>
      <w:r>
        <w:t xml:space="preserve">В случае, если Подрядчик при заключении Договора предоставил Заказчику недостоверные заверения о любом из указанных в наст</w:t>
      </w:r>
      <w:r>
        <w:t xml:space="preserve">оящем разделе обстоятельств, имеющих существенное значение для заключения и исполнения Договора, Подрядчик обязан по письменному требованию Заказчика уплатить последнему штраф в размере 5% (пять процентов) от Цены Договора, указанной в пункте</w:t>
      </w:r>
      <w:r>
        <w:rPr>
          <w:highlight w:val="white"/>
        </w:rPr>
        <w:t xml:space="preserve"> 3.1 Договор</w:t>
      </w:r>
      <w:r>
        <w:rPr>
          <w:highlight w:val="white"/>
        </w:rPr>
        <w:t xml:space="preserve">а.</w:t>
      </w:r>
      <w:r>
        <w:rPr>
          <w:highlight w:val="white"/>
        </w:rPr>
      </w:r>
      <w:r>
        <w:rPr>
          <w:highlight w:val="white"/>
        </w:rPr>
      </w:r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184"/>
        <w:ind w:left="0" w:right="0" w:firstLine="709"/>
        <w:shd w:val="clear" w:color="auto" w:fill="ffffff"/>
        <w:tabs>
          <w:tab w:val="left" w:pos="0" w:leader="none"/>
        </w:tabs>
        <w:rPr>
          <w:sz w:val="6"/>
          <w:szCs w:val="6"/>
        </w:rPr>
      </w:pPr>
      <w:r>
        <w:rPr>
          <w:sz w:val="14"/>
          <w:szCs w:val="14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pStyle w:val="1184"/>
        <w:numPr>
          <w:ilvl w:val="0"/>
          <w:numId w:val="30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</w:pPr>
      <w:r>
        <w:rPr>
          <w:b/>
          <w:bCs/>
        </w:rPr>
        <w:t xml:space="preserve">Прекращение (расторжение) Договора</w:t>
      </w:r>
      <w:r/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6"/>
          <w:szCs w:val="6"/>
        </w:rPr>
      </w:pPr>
      <w:r>
        <w:rPr>
          <w:sz w:val="14"/>
          <w:szCs w:val="14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Договор может быть прекращен (расторгнут) по соглашению Сторон. Сторона, </w:t>
      </w:r>
      <w:r>
        <w:rPr>
          <w:sz w:val="24"/>
          <w:szCs w:val="24"/>
        </w:rPr>
        <w:t xml:space="preserve">имеющая намерение расторгнуть Договор, направляет письменное уведомление об этом другой Сторон</w:t>
      </w:r>
      <w:r>
        <w:rPr>
          <w:sz w:val="24"/>
          <w:szCs w:val="24"/>
        </w:rPr>
        <w:t xml:space="preserve">е в порядке, предусмотренном пунктом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15.6 До</w:t>
      </w:r>
      <w:r>
        <w:rPr>
          <w:sz w:val="24"/>
          <w:szCs w:val="24"/>
          <w:highlight w:val="white"/>
        </w:rPr>
        <w:t xml:space="preserve">говора, </w:t>
      </w:r>
      <w:r>
        <w:rPr>
          <w:sz w:val="24"/>
          <w:szCs w:val="24"/>
        </w:rPr>
        <w:t xml:space="preserve">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Заказчик вправе в любое время до сдачи ему Результатов Работ в одностороннем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</w:t>
      </w:r>
      <w:r>
        <w:t xml:space="preserve">получения Подрядчиком уведомления Заказчика об отказе от Договора (исполнения Договора). </w:t>
      </w:r>
      <w:r/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Заказчик одновременно с уведомлением об отказе от Договора (исполнени</w:t>
      </w:r>
      <w: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Стороны установили, что существенным нарушением Договора Подрядчиком является:</w:t>
      </w:r>
      <w:r/>
    </w:p>
    <w:p>
      <w:pPr>
        <w:pStyle w:val="1184"/>
        <w:numPr>
          <w:ilvl w:val="0"/>
          <w:numId w:val="67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нарушение Подрядчиком сроков выполнения Работ по Договору более чем на </w:t>
      </w:r>
      <w:r>
        <w:rPr>
          <w:sz w:val="24"/>
          <w:szCs w:val="24"/>
        </w:rPr>
        <w:t xml:space="preserve">60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шестьдесят</w:t>
      </w:r>
      <w:r>
        <w:rPr>
          <w:sz w:val="24"/>
          <w:szCs w:val="24"/>
        </w:rPr>
        <w:t xml:space="preserve">) календарных дней по причинам, не зависящим от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7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несоблюдение Подрядчиком требований к качеству Работ и/или используемых при выполнении Рабо</w:t>
      </w:r>
      <w:r>
        <w:rPr>
          <w:sz w:val="24"/>
          <w:szCs w:val="24"/>
        </w:rPr>
        <w:t xml:space="preserve">т Материально-технических ресурсов, если исправление выявленных Заказчиком недостатков, несоответствий и/или дефектов Работ влечет нарушение сроков выполнения Работ более чем на 60 (двадцать) календарных дней либо такие недостатки являются неустранимыми;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7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и/или лицензий;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7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7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7"/>
        </w:numPr>
        <w:ind w:left="0" w:right="0" w:firstLine="709"/>
        <w:jc w:val="both"/>
        <w:spacing w:line="276" w:lineRule="auto"/>
        <w:tabs>
          <w:tab w:val="left" w:pos="0" w:leader="none"/>
          <w:tab w:val="left" w:pos="992" w:leader="none"/>
        </w:tabs>
      </w:pPr>
      <w:r>
        <w:rPr>
          <w:sz w:val="24"/>
          <w:szCs w:val="24"/>
        </w:rP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предоставлен</w:t>
      </w:r>
      <w:r>
        <w:rPr>
          <w:sz w:val="24"/>
          <w:szCs w:val="24"/>
        </w:rP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12 Договора, и имеющих существенное значение для его заключения и исполнения</w:t>
      </w:r>
      <w:r>
        <w:t xml:space="preserve">.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 </w:t>
      </w:r>
      <w:r>
        <w:t xml:space="preserve">отказа Заказчика от Договора в случаях, предусмотренных пунктами 13.2, 13.3, 13.4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  <w:r/>
    </w:p>
    <w:p>
      <w:pPr>
        <w:pStyle w:val="1184"/>
        <w:numPr>
          <w:ilvl w:val="0"/>
          <w:numId w:val="68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передать Заказчику Результат Работ, техническую и иную полученную документацию, закупленные Материально-технические ресурсы;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0"/>
          <w:numId w:val="68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rFonts w:cs="Verdana"/>
          <w:sz w:val="24"/>
          <w:szCs w:val="24"/>
        </w:rPr>
      </w:pPr>
      <w:r>
        <w:rPr>
          <w:sz w:val="24"/>
          <w:szCs w:val="24"/>
        </w:rPr>
        <w:t xml:space="preserve">вывезти с места производства Работ собственную строительную технику</w:t>
      </w:r>
      <w:r>
        <w:rPr>
          <w:rFonts w:cs="Verdana"/>
          <w:sz w:val="24"/>
          <w:szCs w:val="24"/>
        </w:rPr>
        <w:t xml:space="preserve"> и персонал Подрядчика; </w:t>
      </w:r>
      <w:r>
        <w:rPr>
          <w:rFonts w:cs="Verdana"/>
          <w:sz w:val="24"/>
          <w:szCs w:val="24"/>
        </w:rPr>
      </w:r>
      <w:r>
        <w:rPr>
          <w:rFonts w:cs="Verdana"/>
          <w:sz w:val="24"/>
          <w:szCs w:val="24"/>
        </w:rPr>
      </w:r>
    </w:p>
    <w:p>
      <w:pPr>
        <w:pStyle w:val="1184"/>
        <w:numPr>
          <w:ilvl w:val="0"/>
          <w:numId w:val="68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  <w:rPr>
          <w:rFonts w:cs="Verdana"/>
          <w:sz w:val="24"/>
          <w:szCs w:val="24"/>
        </w:rPr>
      </w:pPr>
      <w:r>
        <w:rPr>
          <w:rFonts w:cs="Verdana"/>
          <w:sz w:val="24"/>
          <w:szCs w:val="24"/>
        </w:rPr>
        <w:t xml:space="preserve">удалить </w:t>
      </w:r>
      <w:r>
        <w:rPr>
          <w:sz w:val="24"/>
          <w:szCs w:val="24"/>
        </w:rPr>
        <w:t xml:space="preserve">с места производства Работ </w:t>
      </w:r>
      <w:r>
        <w:rPr>
          <w:rFonts w:cs="Verdana"/>
          <w:sz w:val="24"/>
          <w:szCs w:val="24"/>
        </w:rPr>
        <w:t xml:space="preserve">весь мусор и все остаточные продукты любого рода и оставить данное место чистым и безопасным.</w:t>
      </w:r>
      <w:r>
        <w:rPr>
          <w:rFonts w:cs="Verdana"/>
          <w:sz w:val="24"/>
          <w:szCs w:val="24"/>
        </w:rPr>
      </w:r>
      <w:r>
        <w:rPr>
          <w:rFonts w:cs="Verdana"/>
          <w:sz w:val="24"/>
          <w:szCs w:val="24"/>
        </w:rPr>
      </w:r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t xml:space="preserve">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>
        <w:rPr>
          <w:highlight w:val="none"/>
        </w:rPr>
      </w:r>
      <w:r/>
    </w:p>
    <w:p>
      <w:pPr>
        <w:contextualSpacing/>
        <w:ind w:left="709" w:right="0" w:firstLine="0"/>
        <w:jc w:val="both"/>
        <w:keepLines w:val="0"/>
        <w:spacing w:line="276" w:lineRule="auto"/>
        <w:shd w:val="clear" w:color="auto" w:fill="ffffff"/>
        <w:tabs>
          <w:tab w:val="left" w:pos="0" w:leader="none"/>
        </w:tabs>
        <w:rPr>
          <w:sz w:val="6"/>
          <w:szCs w:val="6"/>
        </w:rPr>
        <w:suppressLineNumbers w:val="0"/>
      </w:pPr>
      <w:r>
        <w:rPr>
          <w:sz w:val="14"/>
          <w:szCs w:val="14"/>
          <w:highlight w:val="none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pStyle w:val="1184"/>
        <w:numPr>
          <w:ilvl w:val="0"/>
          <w:numId w:val="30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Разрешение споров.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spacing w:line="276" w:lineRule="auto"/>
        <w:shd w:val="clear" w:color="auto" w:fill="ffffff"/>
        <w:tabs>
          <w:tab w:val="left" w:pos="0" w:leader="none"/>
        </w:tabs>
        <w:rPr>
          <w:sz w:val="6"/>
          <w:szCs w:val="6"/>
        </w:rPr>
      </w:pPr>
      <w:r>
        <w:rPr>
          <w:sz w:val="14"/>
          <w:szCs w:val="14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и/ или действительностью, решаются путем переговоров. 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Споры указанные в пункте 14.1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</w:t>
      </w:r>
      <w:r>
        <w:t xml:space="preserve"> 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Сторонами п</w:t>
      </w:r>
      <w:r>
        <w:t xml:space="preserve">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 в порядке, предусмотренном пунктом 15.6 Договора.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  <w:t xml:space="preserve">Срок для рассмотрен</w:t>
      </w:r>
      <w:r>
        <w:rPr>
          <w:highlight w:val="none"/>
        </w:rPr>
        <w:t xml:space="preserve">ия претензии - 15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Арбитражный суд Хабаровского края.</w:t>
      </w:r>
      <w:r>
        <w:rPr>
          <w:highlight w:val="none"/>
        </w:rPr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Условия настоящего раздела сохраняют свою силу в случае признания Договора незаключенным и/или недействительным.</w:t>
      </w:r>
      <w:r>
        <w:rPr>
          <w:sz w:val="14"/>
          <w:szCs w:val="14"/>
        </w:rPr>
      </w:r>
      <w:r/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sz w:val="10"/>
          <w:szCs w:val="10"/>
        </w:rPr>
      </w:pPr>
      <w:r>
        <w:rPr>
          <w:sz w:val="14"/>
          <w:szCs w:val="14"/>
        </w:rPr>
      </w: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pStyle w:val="1184"/>
        <w:numPr>
          <w:ilvl w:val="0"/>
          <w:numId w:val="30"/>
        </w:numPr>
        <w:ind w:left="0" w:right="0" w:firstLine="709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положения.</w:t>
      </w:r>
      <w:r>
        <w:rPr>
          <w:b/>
          <w:bCs/>
        </w:rPr>
      </w:r>
      <w:r>
        <w:rPr>
          <w:b/>
          <w:bCs/>
        </w:rPr>
      </w:r>
    </w:p>
    <w:p>
      <w:pPr>
        <w:ind w:left="709" w:right="0" w:firstLine="0"/>
        <w:jc w:val="center"/>
        <w:spacing w:line="276" w:lineRule="auto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Договор вступает в силу с даты подписания Сторонами и действует </w:t>
      </w:r>
      <w:r>
        <w:rPr>
          <w:bCs/>
        </w:rPr>
        <w:t xml:space="preserve">по _________</w:t>
      </w:r>
      <w:r>
        <w:t xml:space="preserve"> а в части неисполненных обязательств – до полного исполнения Сторонами. 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Сторон. 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highlight w:val="none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</w:t>
      </w:r>
      <w:r>
        <w:rPr>
          <w:highlight w:val="none"/>
        </w:rPr>
        <w:t xml:space="preserve">рме, предусмотренном пунктом 15.7 Договора,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изменения, либо прекращения гражданских прав и обязанностей Сторон.</w:t>
      </w:r>
      <w:r>
        <w:rPr>
          <w:highlight w:val="none"/>
        </w:rPr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31" w:name="_Ref361338004"/>
      <w:r>
        <w:t xml:space="preserve">Стороны обязуются уведомлять друг друга об изменении адреса и/или реквизитов, указанных в разделе 17 Договора, не позднее 3-х (трех) рабочих дней после такого изменения.</w:t>
      </w:r>
      <w:bookmarkEnd w:id="31"/>
      <w:r>
        <w:t xml:space="preserve"> 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/>
      <w:bookmarkStart w:id="32" w:name="_Ref361338019"/>
      <w:r>
        <w:t xml:space="preserve">Письма, уведомлен</w:t>
      </w:r>
      <w:r>
        <w:t xml:space="preserve">ия и/или сообщения направляются Стороне-получателю по адресу ее места нахождения, указанному в разд</w:t>
      </w:r>
      <w:r>
        <w:rPr>
          <w:highlight w:val="white"/>
        </w:rPr>
        <w:t xml:space="preserve">ел</w:t>
      </w:r>
      <w:r>
        <w:rPr>
          <w:highlight w:val="white"/>
        </w:rPr>
        <w:t xml:space="preserve">е 17 Д</w:t>
      </w:r>
      <w:r>
        <w:rPr>
          <w:highlight w:val="white"/>
        </w:rPr>
        <w:t xml:space="preserve">оговора</w:t>
      </w:r>
      <w:r>
        <w:t xml:space="preserve">, или в ранее полученном уведомлении Стороны об изменении адреса, одним из следующих способов, при этом документ будет считаться полученным:</w:t>
      </w:r>
      <w:bookmarkEnd w:id="32"/>
      <w:r/>
      <w:r/>
    </w:p>
    <w:p>
      <w:pPr>
        <w:pStyle w:val="1184"/>
        <w:numPr>
          <w:ilvl w:val="0"/>
          <w:numId w:val="69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</w:pPr>
      <w:r/>
      <w:bookmarkStart w:id="33" w:name="_Ref361338032"/>
      <w: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/>
    </w:p>
    <w:p>
      <w:pPr>
        <w:pStyle w:val="1184"/>
        <w:numPr>
          <w:ilvl w:val="0"/>
          <w:numId w:val="69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</w:pPr>
      <w:r>
        <w:t xml:space="preserve">заказным почтовым отп</w:t>
      </w:r>
      <w: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адресатом/факта отсутствия адресата по указанному адресу;</w:t>
      </w:r>
      <w:bookmarkEnd w:id="33"/>
      <w:r/>
      <w:r/>
    </w:p>
    <w:p>
      <w:pPr>
        <w:pStyle w:val="1184"/>
        <w:numPr>
          <w:ilvl w:val="0"/>
          <w:numId w:val="69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992" w:leader="none"/>
        </w:tabs>
      </w:pPr>
      <w:r>
        <w:t xml:space="preserve">электронным сообщением – </w:t>
      </w:r>
      <w:r>
        <w:rPr>
          <w:bCs/>
          <w:highlight w:val="white"/>
        </w:rPr>
        <w:t xml:space="preserve">в дату и время отправл</w:t>
      </w:r>
      <w:r>
        <w:rPr>
          <w:bCs/>
          <w:highlight w:val="white"/>
        </w:rPr>
        <w:t xml:space="preserve">ения, подтве</w:t>
      </w:r>
      <w:r>
        <w:rPr>
          <w:bCs/>
          <w:highlight w:val="white"/>
        </w:rPr>
        <w:t xml:space="preserve">ржденного протоколом передачи, распечатанным Стороной-отправителем. В случае, если передача электронного сообщения осуществляется вне обычных рабочих часов Стороны-получателя, документ будет считаться полученным в 10 часов 00 минут следующего рабочего дня.</w:t>
      </w:r>
      <w:r/>
    </w:p>
    <w:p>
      <w:pPr>
        <w:numPr>
          <w:ilvl w:val="1"/>
          <w:numId w:val="30"/>
        </w:numPr>
        <w:ind w:left="0" w:righ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избежание сомнений, кроме случаев, ког</w:t>
      </w:r>
      <w:r>
        <w:rPr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Заказчика. </w:t>
      </w:r>
      <w:r/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t xml:space="preserve">Настоящий Договор заключается в электронной форме с использованием программно – 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84"/>
        <w:numPr>
          <w:ilvl w:val="1"/>
          <w:numId w:val="30"/>
        </w:numPr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rPr>
          <w:sz w:val="24"/>
          <w:szCs w:val="24"/>
          <w:highlight w:val="none"/>
        </w:rPr>
        <w:t xml:space="preserve">Во </w:t>
      </w:r>
      <w:r>
        <w:t xml:space="preserve">всем остальном, что не урегулировано Договором, Стороны руководствуются законодательством Российской Федерации. </w:t>
      </w:r>
      <w:r>
        <w:rPr>
          <w:sz w:val="24"/>
          <w:szCs w:val="24"/>
          <w:highlight w:val="none"/>
        </w:rPr>
      </w:r>
      <w:r/>
    </w:p>
    <w:p>
      <w:pPr>
        <w:pStyle w:val="1184"/>
        <w:numPr>
          <w:ilvl w:val="0"/>
          <w:numId w:val="30"/>
        </w:numPr>
        <w:ind w:left="0" w:right="0" w:firstLine="709"/>
        <w:jc w:val="center"/>
        <w:shd w:val="clear" w:color="auto" w:fill="ffffff"/>
        <w:tabs>
          <w:tab w:val="left" w:pos="0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highlight w:val="none"/>
        </w:rPr>
      </w:pPr>
      <w:r>
        <w:t xml:space="preserve">Приложение  № 1 – Техническое задание;</w:t>
      </w:r>
      <w:r>
        <w:rPr>
          <w:highlight w:val="none"/>
        </w:rPr>
      </w:r>
      <w:r>
        <w:rPr>
          <w:highlight w:val="none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t xml:space="preserve">Приложение  № 2 – Локальный сметный 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расчёт;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Приложение № 3 – Форма Акта сдачи-приемки строительной площадки, места (помещения) для складирования Материально-технических ресурсов;</w:t>
      </w:r>
      <w:r/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Приложение № 4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безопасности;</w:t>
      </w:r>
      <w:r/>
    </w:p>
    <w:p>
      <w:pPr>
        <w:pStyle w:val="1184"/>
        <w:ind w:left="0" w:righ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highlight w:val="none"/>
        </w:rPr>
      </w:pPr>
      <w:r>
        <w:t xml:space="preserve">Приложение № 5 – Форма справки </w:t>
      </w:r>
      <w:r>
        <w:t xml:space="preserve">о заключенных договорах Подрядчика</w:t>
      </w:r>
      <w:r>
        <w:t xml:space="preserve"> по договору с Субподрядчиками, являющимися субъектами малого и среднего предпринимательства;</w:t>
      </w:r>
      <w:r>
        <w:rPr>
          <w:highlight w:val="none"/>
        </w:rPr>
      </w:r>
      <w:r>
        <w:rPr>
          <w:highlight w:val="none"/>
        </w:rPr>
      </w:r>
    </w:p>
    <w:p>
      <w:pPr>
        <w:pStyle w:val="1184"/>
        <w:ind w:lef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Приложение № 6 – Форма (Реестр исполнительной документации);</w:t>
      </w:r>
      <w:r/>
    </w:p>
    <w:p>
      <w:pPr>
        <w:pStyle w:val="1184"/>
        <w:ind w:lef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Приложение №</w:t>
      </w:r>
      <w:r>
        <w:t xml:space="preserve"> 7 – Форма (Акт освидетельствования скрытых работ);</w:t>
      </w:r>
      <w:r/>
    </w:p>
    <w:p>
      <w:pPr>
        <w:pStyle w:val="1184"/>
        <w:ind w:lef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Приложение № 8 – Форма (Акт по форме КС-2);</w:t>
      </w:r>
      <w:r/>
    </w:p>
    <w:p>
      <w:pPr>
        <w:pStyle w:val="1184"/>
        <w:ind w:left="0" w:firstLine="709"/>
        <w:jc w:val="both"/>
        <w:spacing w:line="276" w:lineRule="auto"/>
        <w:shd w:val="clear" w:color="auto" w:fill="ffffff"/>
        <w:tabs>
          <w:tab w:val="left" w:pos="0" w:leader="none"/>
        </w:tabs>
      </w:pPr>
      <w:r>
        <w:t xml:space="preserve">Приложение № 9 – Форма (Справка по форме КС-3);</w:t>
      </w:r>
      <w:r/>
    </w:p>
    <w:p>
      <w:pPr>
        <w:pStyle w:val="1184"/>
        <w:ind w:left="0" w:firstLine="709"/>
        <w:jc w:val="both"/>
        <w:spacing w:line="276" w:lineRule="auto"/>
        <w:shd w:val="clear" w:color="auto" w:fill="ffffff"/>
        <w:tabs>
          <w:tab w:val="left" w:pos="0" w:leader="none"/>
        </w:tabs>
        <w:rPr>
          <w:highlight w:val="none"/>
        </w:rPr>
      </w:pPr>
      <w:r>
        <w:t xml:space="preserve">Приложение № 10 – Форма (Акт по форме ОС-3)</w:t>
      </w:r>
      <w: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196"/>
        <w:ind w:left="720" w:firstLine="0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  <w:highlight w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  <w:highlight w:val="white"/>
        </w:rPr>
        <w:t xml:space="preserve">Приложение № 11 – </w:t>
      </w:r>
      <w:r>
        <w:rPr>
          <w:sz w:val="24"/>
          <w:szCs w:val="24"/>
          <w:highlight w:val="white"/>
        </w:rPr>
        <w:t xml:space="preserve">График производства работ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96"/>
        <w:ind w:left="720" w:firstLine="0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  <w:highlight w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96"/>
        <w:ind w:left="720" w:firstLine="0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  <w:highlight w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96"/>
        <w:ind w:left="720" w:firstLine="0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  <w:highlight w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84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Адреса и платежные реквизиты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1184"/>
        <w:ind w:left="0"/>
        <w:shd w:val="clear" w:color="auto" w:fill="ffffff"/>
        <w:tabs>
          <w:tab w:val="left" w:pos="426" w:leader="none"/>
        </w:tabs>
        <w:rPr>
          <w:sz w:val="14"/>
          <w:szCs w:val="14"/>
        </w:rPr>
      </w:pPr>
      <w:r>
        <w:rPr>
          <w:sz w:val="10"/>
          <w:szCs w:val="10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tbl>
      <w:tblPr>
        <w:tblW w:w="9755" w:type="dxa"/>
        <w:tblLayout w:type="fixed"/>
        <w:tblLook w:val="01E0" w:firstRow="1" w:lastRow="1" w:firstColumn="1" w:lastColumn="1" w:noHBand="0" w:noVBand="0"/>
      </w:tblPr>
      <w:tblGrid>
        <w:gridCol w:w="5069"/>
        <w:gridCol w:w="4686"/>
      </w:tblGrid>
      <w:tr>
        <w:tblPrEx/>
        <w:trPr>
          <w:trHeight w:val="6321"/>
        </w:trPr>
        <w:tc>
          <w:tcPr>
            <w:shd w:val="clear" w:color="auto" w:fill="auto"/>
            <w:tcW w:w="5069" w:type="dxa"/>
            <w:textDirection w:val="lrTb"/>
            <w:noWrap w:val="false"/>
          </w:tcPr>
          <w:p>
            <w:pPr>
              <w:pStyle w:val="997"/>
              <w:ind w:firstLine="0"/>
              <w:spacing w:before="0" w:after="0"/>
              <w:widowControl w:val="off"/>
              <w:rPr>
                <w:highlight w:val="none"/>
              </w:rPr>
            </w:pPr>
            <w:r>
              <w:rPr>
                <w:b/>
                <w:bCs/>
                <w:sz w:val="22"/>
                <w:szCs w:val="22"/>
              </w:rPr>
              <w:t xml:space="preserve">ЗАКАЗЧИК: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680000, Хабаровский край,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Хабаровск, ул. Фрунзе, д. 49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1051401746769,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1434031363 / КПП 997650001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Р/счет: 40702810270000008818 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Дальневосточном банке ПАО «Сбербанк», </w:t>
            </w:r>
            <w:r>
              <w:rPr>
                <w:sz w:val="24"/>
                <w:szCs w:val="24"/>
              </w:rPr>
              <w:t xml:space="preserve">г.Хабаровск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К/счет: 30101810600000000608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БИК: 040813608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</w:pPr>
            <w:r>
              <w:rPr>
                <w:sz w:val="24"/>
                <w:szCs w:val="24"/>
              </w:rPr>
              <w:t xml:space="preserve">КПП: 270532001</w:t>
            </w: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для корреспонденции: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  <w:t xml:space="preserve"> Структурное подразделение «Николаевская ТЭЦ»,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682460, г. Николаевск-на-</w:t>
            </w:r>
            <w:r>
              <w:rPr>
                <w:sz w:val="24"/>
                <w:szCs w:val="24"/>
              </w:rPr>
              <w:t xml:space="preserve">Амуре,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ул. Невельского, 24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«Николаевская ТЭЦ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 _______________/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686" w:type="dxa"/>
            <w:textDirection w:val="lrTb"/>
            <w:noWrap w:val="false"/>
          </w:tcPr>
          <w:p>
            <w:pPr>
              <w:pStyle w:val="997"/>
              <w:ind w:firstLine="0"/>
              <w:spacing w:before="0" w:after="0"/>
              <w:widowControl w:val="off"/>
            </w:pPr>
            <w:r>
              <w:rPr>
                <w:b/>
                <w:bCs/>
                <w:sz w:val="22"/>
                <w:szCs w:val="22"/>
              </w:rPr>
              <w:t xml:space="preserve">ПОДРЯДЧИК:</w:t>
            </w: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2"/>
          <w:szCs w:val="22"/>
        </w:rPr>
        <w:sectPr>
          <w:footerReference w:type="default" r:id="rId11"/>
          <w:footnotePr/>
          <w:endnotePr/>
          <w:type w:val="nextPage"/>
          <w:pgSz w:w="11906" w:h="16838" w:orient="portrait"/>
          <w:pgMar w:top="567" w:right="709" w:bottom="963" w:left="1276" w:header="709" w:footer="123" w:gutter="0"/>
          <w:cols w:num="1" w:sep="0" w:space="708" w:equalWidth="1"/>
          <w:docGrid w:linePitch="360"/>
          <w:titlePg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204"/>
        <w:ind w:firstLine="0"/>
        <w:jc w:val="right"/>
        <w:shd w:val="clear" w:color="auto" w:fill="auto"/>
        <w:rPr>
          <w:b w:val="0"/>
        </w:rPr>
      </w:pPr>
      <w:r>
        <w:rPr>
          <w:b w:val="0"/>
        </w:rPr>
        <w:t xml:space="preserve">Приложение № 3 к Договору подряда №____________ от _______2026 г.</w:t>
      </w:r>
      <w:r>
        <w:rPr>
          <w:b w:val="0"/>
        </w:rPr>
      </w:r>
      <w:r>
        <w:rPr>
          <w:b w:val="0"/>
        </w:rPr>
      </w:r>
    </w:p>
    <w:p>
      <w:pPr>
        <w:pStyle w:val="1204"/>
        <w:ind w:firstLine="0"/>
        <w:jc w:val="right"/>
        <w:shd w:val="clear" w:color="auto" w:fill="auto"/>
        <w:rPr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</w:r>
      <w:r>
        <w:rPr>
          <w:b w:val="0"/>
          <w:iCs/>
          <w:sz w:val="24"/>
          <w:szCs w:val="24"/>
        </w:rPr>
      </w:r>
      <w:r>
        <w:rPr>
          <w:b w:val="0"/>
          <w:iCs/>
          <w:sz w:val="24"/>
          <w:szCs w:val="24"/>
        </w:rPr>
      </w:r>
    </w:p>
    <w:p>
      <w:pPr>
        <w:pStyle w:val="1204"/>
        <w:ind w:firstLine="0"/>
        <w:shd w:val="clear" w:color="auto" w:fill="auto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ФОРМА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204"/>
        <w:ind w:firstLine="0"/>
        <w:shd w:val="clear" w:color="auto" w:fill="auto"/>
        <w:rPr>
          <w:b w:val="0"/>
          <w:i/>
          <w:iCs/>
          <w:sz w:val="24"/>
          <w:szCs w:val="24"/>
        </w:rPr>
      </w:pPr>
      <w:r>
        <w:rPr>
          <w:b w:val="0"/>
          <w:sz w:val="24"/>
          <w:szCs w:val="24"/>
        </w:rPr>
        <w:t xml:space="preserve">Акта сдачи-приемки ремонтной площадки и/или</w:t>
      </w:r>
      <w:r>
        <w:rPr>
          <w:b w:val="0"/>
          <w:sz w:val="24"/>
        </w:rPr>
        <w:t xml:space="preserve"> места (помещения) для складирования Материально-технических ресурсов</w:t>
      </w:r>
      <w:r>
        <w:rPr>
          <w:b w:val="0"/>
          <w:i/>
          <w:iCs/>
          <w:sz w:val="24"/>
          <w:szCs w:val="24"/>
        </w:rPr>
      </w:r>
      <w:r>
        <w:rPr>
          <w:b w:val="0"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204"/>
              <w:ind w:firstLine="0"/>
              <w:shd w:val="clear" w:color="auto" w:fill="auto"/>
              <w:rPr>
                <w:b w:val="0"/>
              </w:rPr>
            </w:pPr>
            <w:r>
              <w:rPr>
                <w:b w:val="0"/>
              </w:rPr>
              <w:t xml:space="preserve">Акт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  <w:p>
            <w:pPr>
              <w:pStyle w:val="1204"/>
              <w:ind w:firstLine="0"/>
              <w:shd w:val="clear" w:color="auto" w:fill="auto"/>
              <w:rPr>
                <w:b w:val="0"/>
                <w:i/>
                <w:iCs/>
              </w:rPr>
            </w:pPr>
            <w:r>
              <w:rPr>
                <w:b w:val="0"/>
              </w:rPr>
              <w:t xml:space="preserve">сдачи-приемки ремонтной площадки </w:t>
            </w:r>
            <w:r>
              <w:rPr>
                <w:b w:val="0"/>
                <w:i/>
                <w:iCs/>
              </w:rPr>
            </w:r>
            <w:r>
              <w:rPr>
                <w:b w:val="0"/>
                <w:i/>
                <w:iCs/>
              </w:rPr>
            </w:r>
          </w:p>
          <w:p>
            <w:pPr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Николаевск-на-Амуре    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«</w:t>
            </w:r>
            <w:r>
              <w:rPr>
                <w:sz w:val="22"/>
                <w:szCs w:val="22"/>
              </w:rPr>
              <w:t xml:space="preserve">_____» ____________г.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___________, именуемое далее «Подрядчик», в лице ________, действующего на основании _______, и АО «ДГК», именуемое далее «Заказчик», в лице ____________________________________</w:t>
            </w:r>
            <w:r>
              <w:rPr>
                <w:sz w:val="22"/>
                <w:szCs w:val="22"/>
              </w:rPr>
              <w:t xml:space="preserve">_.,</w:t>
            </w:r>
            <w:r>
              <w:rPr>
                <w:sz w:val="22"/>
                <w:szCs w:val="22"/>
              </w:rPr>
              <w:t xml:space="preserve">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Подрядчику, а Подрядчик принял ремонтную площадку: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 по Договору подряда №_________ от _________________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Ремонтная площадка передана Подрядчику в установленный Договором срок.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Претензии Подрядчика (замечания и недостатки) к месту производства Работ: «не имеются».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204"/>
              <w:ind w:firstLine="0"/>
              <w:jc w:val="left"/>
              <w:shd w:val="clear" w:color="auto" w:fill="auto"/>
              <w:rPr>
                <w:b w:val="0"/>
                <w:i/>
                <w:iCs/>
              </w:rPr>
            </w:pPr>
            <w:r>
              <w:rPr>
                <w:b w:val="0"/>
                <w:i/>
                <w:iCs/>
              </w:rPr>
            </w:r>
            <w:r>
              <w:rPr>
                <w:b w:val="0"/>
                <w:i/>
                <w:iCs/>
              </w:rPr>
            </w:r>
            <w:r>
              <w:rPr>
                <w:b w:val="0"/>
                <w:i/>
                <w:iCs/>
              </w:rPr>
            </w:r>
          </w:p>
          <w:tbl>
            <w:tblPr>
              <w:tblW w:w="7971" w:type="dxa"/>
              <w:tblLook w:val="0000" w:firstRow="0" w:lastRow="0" w:firstColumn="0" w:lastColumn="0" w:noHBand="0" w:noVBand="0"/>
            </w:tblPr>
            <w:tblGrid>
              <w:gridCol w:w="4002"/>
              <w:gridCol w:w="3969"/>
            </w:tblGrid>
            <w:tr>
              <w:tblPrEx/>
              <w:trPr/>
              <w:tc>
                <w:tcPr>
                  <w:tcW w:w="4002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Заказчик:</w:t>
                  </w:r>
                  <w:r>
                    <w:rPr>
                      <w:sz w:val="22"/>
                    </w:rPr>
                  </w:r>
                  <w:r>
                    <w:rPr>
                      <w:sz w:val="22"/>
                    </w:rPr>
                  </w:r>
                </w:p>
              </w:tc>
              <w:tc>
                <w:tcPr>
                  <w:tcW w:w="3969" w:type="dxa"/>
                  <w:textDirection w:val="lrTb"/>
                  <w:noWrap w:val="false"/>
                </w:tcPr>
                <w:p>
                  <w:pPr>
                    <w:ind w:firstLine="0"/>
                    <w:jc w:val="right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Подрядчик:</w:t>
                  </w:r>
                  <w:r>
                    <w:rPr>
                      <w:sz w:val="22"/>
                    </w:rPr>
                  </w:r>
                  <w:r>
                    <w:rPr>
                      <w:sz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002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3969" w:type="dxa"/>
                  <w:textDirection w:val="lrTb"/>
                  <w:noWrap w:val="false"/>
                </w:tcPr>
                <w:p>
                  <w:pPr>
                    <w:ind w:firstLine="0"/>
                    <w:spacing w:line="0" w:lineRule="atLeas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204"/>
              <w:ind w:firstLine="0"/>
              <w:jc w:val="left"/>
              <w:shd w:val="clear" w:color="auto" w:fill="auto"/>
              <w:rPr>
                <w:b w:val="0"/>
                <w:i/>
                <w:iCs/>
              </w:rPr>
            </w:pPr>
            <w:r>
              <w:rPr>
                <w:b w:val="0"/>
                <w:i/>
                <w:iCs/>
              </w:rPr>
            </w:r>
            <w:r>
              <w:rPr>
                <w:b w:val="0"/>
                <w:i/>
                <w:iCs/>
              </w:rPr>
            </w:r>
            <w:r>
              <w:rPr>
                <w:b w:val="0"/>
                <w:i/>
                <w:iCs/>
              </w:rPr>
            </w:r>
          </w:p>
        </w:tc>
      </w:tr>
    </w:tbl>
    <w:p>
      <w:pPr>
        <w:pStyle w:val="1204"/>
        <w:ind w:firstLine="0"/>
        <w:jc w:val="left"/>
        <w:rPr>
          <w:b w:val="0"/>
          <w:i/>
          <w:iCs/>
        </w:rPr>
      </w:pPr>
      <w:r>
        <w:rPr>
          <w:b w:val="0"/>
          <w:i/>
          <w:iCs/>
        </w:rPr>
      </w:r>
      <w:r>
        <w:rPr>
          <w:b w:val="0"/>
          <w:i/>
          <w:iCs/>
        </w:rPr>
      </w:r>
      <w:r>
        <w:rPr>
          <w:b w:val="0"/>
          <w:i/>
          <w:iCs/>
        </w:rPr>
      </w:r>
    </w:p>
    <w:p>
      <w:pPr>
        <w:pStyle w:val="1204"/>
        <w:ind w:firstLine="709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Форма согласована: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8187"/>
      </w:tblGrid>
      <w:tr>
        <w:tblPrEx/>
        <w:trPr/>
        <w:tc>
          <w:tcPr>
            <w:tcW w:w="81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7971" w:type="dxa"/>
              <w:tblLook w:val="0000" w:firstRow="0" w:lastRow="0" w:firstColumn="0" w:lastColumn="0" w:noHBand="0" w:noVBand="0"/>
            </w:tblPr>
            <w:tblGrid>
              <w:gridCol w:w="4002"/>
              <w:gridCol w:w="3969"/>
            </w:tblGrid>
            <w:tr>
              <w:tblPrEx/>
              <w:trPr/>
              <w:tc>
                <w:tcPr>
                  <w:tcW w:w="4002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969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002" w:type="dxa"/>
                  <w:textDirection w:val="lrTb"/>
                  <w:noWrap w:val="false"/>
                </w:tcPr>
                <w:p>
                  <w:pPr>
                    <w:ind w:firstLine="0"/>
                    <w:jc w:val="left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________________/ ____________</w:t>
                  </w:r>
                  <w:r>
                    <w:rPr>
                      <w:sz w:val="24"/>
                      <w:szCs w:val="24"/>
                    </w:rPr>
                    <w:t xml:space="preserve">/  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М.П.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auto"/>
                  <w:tcW w:w="3969" w:type="dxa"/>
                  <w:textDirection w:val="lrTb"/>
                  <w:noWrap w:val="false"/>
                </w:tcPr>
                <w:p>
                  <w:pPr>
                    <w:ind w:firstLine="0"/>
                    <w:spacing w:line="0" w:lineRule="atLeast"/>
                  </w:pPr>
                  <w:r/>
                  <w:r/>
                </w:p>
                <w:p>
                  <w:pPr>
                    <w:ind w:firstLine="0"/>
                    <w:spacing w:line="0" w:lineRule="atLeast"/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/>
                </w:p>
                <w:p>
                  <w:pPr>
                    <w:ind w:firstLine="0"/>
                    <w:spacing w:line="0" w:lineRule="atLeast"/>
                  </w:pPr>
                  <w:r>
                    <w:rPr>
                      <w:sz w:val="24"/>
                      <w:szCs w:val="24"/>
                    </w:rPr>
                    <w:t xml:space="preserve">______________/________________/</w:t>
                  </w:r>
                  <w:r>
                    <w:rPr>
                      <w:sz w:val="24"/>
                      <w:szCs w:val="24"/>
                    </w:rPr>
                  </w:r>
                  <w:r/>
                </w:p>
                <w:p>
                  <w:pPr>
                    <w:ind w:firstLine="0"/>
                    <w:spacing w:line="0" w:lineRule="atLeast"/>
                  </w:pPr>
                  <w:r>
                    <w:rPr>
                      <w:sz w:val="24"/>
                      <w:szCs w:val="24"/>
                    </w:rPr>
                    <w:t xml:space="preserve">М.П.</w:t>
                  </w:r>
                  <w:r>
                    <w:rPr>
                      <w:sz w:val="24"/>
                      <w:szCs w:val="24"/>
                    </w:rPr>
                  </w:r>
                  <w:r/>
                </w:p>
              </w:tc>
            </w:tr>
          </w:tbl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8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Приложение № 4 к Договору подряда №____________ от _______2026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Подрядчика за нарушения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пропускного и внутриобъектового режима, требований охраны труда,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пожарной и промышленной безопасности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64"/>
        <w:gridCol w:w="5963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нарушений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Штрафные санкции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 имеет право предъявлять штрафные санкции к Подрядчику путем снижения цены договора, в случае выявления нарушений требований в области охраны труда, пожарной и промышленной безопасности согласно перечню.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________________/ </w:t>
            </w:r>
            <w:r>
              <w:rPr>
                <w:sz w:val="24"/>
                <w:szCs w:val="24"/>
              </w:rPr>
              <w:t xml:space="preserve">_____________/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0" w:lineRule="atLeast"/>
            </w:pPr>
            <w:r/>
            <w:r/>
          </w:p>
          <w:p>
            <w:pPr>
              <w:ind w:firstLine="0"/>
              <w:spacing w:line="0" w:lineRule="atLeast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spacing w:line="0" w:lineRule="atLeast"/>
            </w:pPr>
            <w:r>
              <w:rPr>
                <w:sz w:val="24"/>
                <w:szCs w:val="24"/>
              </w:rPr>
              <w:t xml:space="preserve">______________/_________________/</w:t>
            </w:r>
            <w:r/>
          </w:p>
          <w:p>
            <w:pPr>
              <w:ind w:firstLine="0"/>
              <w:spacing w:line="0" w:lineRule="atLeast"/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4"/>
          <w:szCs w:val="24"/>
        </w:rPr>
        <w:sectPr>
          <w:headerReference w:type="default" r:id="rId9"/>
          <w:footerReference w:type="default" r:id="rId12"/>
          <w:footnotePr/>
          <w:endnotePr/>
          <w:type w:val="nextPage"/>
          <w:pgSz w:w="11906" w:h="16838" w:orient="portrait"/>
          <w:pgMar w:top="851" w:right="851" w:bottom="851" w:left="1418" w:header="284" w:footer="284" w:gutter="0"/>
          <w:cols w:num="1" w:sep="0" w:space="708" w:equalWidth="1"/>
          <w:docGrid w:linePitch="360"/>
        </w:sectPr>
      </w:pPr>
      <w:r/>
      <w:bookmarkStart w:id="34" w:name="RANGE!A1:AG42"/>
      <w:r/>
      <w:bookmarkStart w:id="35" w:name="RANGE!A1:AG40"/>
      <w:r/>
      <w:bookmarkEnd w:id="34"/>
      <w:r/>
      <w:bookmarkEnd w:id="3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8789" w:firstLine="0"/>
        <w:jc w:val="center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5 к Договору подряда №____________ от_______2026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8789"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Форма справки о заключенных договорах Подрядчика по договору с Субподрядчиками,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являющимися субъектами малого и среднего предпринимательства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863"/>
        <w:gridCol w:w="2880"/>
        <w:gridCol w:w="1009"/>
        <w:gridCol w:w="3460"/>
        <w:gridCol w:w="2155"/>
        <w:gridCol w:w="2735"/>
        <w:gridCol w:w="2304"/>
      </w:tblGrid>
      <w:tr>
        <w:tblPrEx/>
        <w:trPr>
          <w:trHeight w:val="1327"/>
        </w:trPr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№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Юр./Физ. лицо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Полное и сокращенное наименование Субподрядчика; фирменное наименование (при наличии) (для юридического лица); фамилия, имя, отчество (для индивидуального предпринимателя)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Резидент</w:t>
            </w:r>
            <w:r>
              <w:rPr>
                <w:sz w:val="18"/>
                <w:szCs w:val="18"/>
                <w:lang w:val="en-US"/>
              </w:rPr>
              <w:t xml:space="preserve">/</w:t>
            </w:r>
            <w:r>
              <w:rPr>
                <w:sz w:val="18"/>
                <w:szCs w:val="18"/>
              </w:rPr>
              <w:t xml:space="preserve">нерезидент РФ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нахождения (для юридического </w:t>
            </w:r>
            <w:r>
              <w:rPr>
                <w:sz w:val="18"/>
                <w:szCs w:val="18"/>
              </w:rPr>
              <w:t xml:space="preserve">лица)/</w:t>
            </w:r>
            <w:r>
              <w:rPr>
                <w:sz w:val="18"/>
                <w:szCs w:val="18"/>
              </w:rPr>
              <w:t xml:space="preserve">паспортные данные, место жительства (для индивидуального предпринимателя); страна/адрес/почтовый индекс/</w:t>
            </w:r>
            <w:r>
              <w:rPr>
                <w:sz w:val="18"/>
                <w:szCs w:val="18"/>
              </w:rPr>
              <w:t xml:space="preserve">фед.округ</w:t>
            </w:r>
            <w:r>
              <w:rPr>
                <w:sz w:val="18"/>
                <w:szCs w:val="18"/>
              </w:rPr>
              <w:t xml:space="preserve">/субъект/регион/ОКТМО; номер контактного телефона, адрес электронной почты. Для нерезидента адрес пребывания на тер. РФ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постановки на учет в налоговом органе в соотв. со свидетельством о постановки на учет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ИНН/КПП/ОКПО/ОКОПФ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закупаемой продукции/код ОКДП/ОКПД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 xml:space="preserve">1</w:t>
            </w:r>
            <w:r>
              <w:rPr>
                <w:sz w:val="18"/>
                <w:szCs w:val="20"/>
                <w:lang w:val="en-US"/>
              </w:rPr>
            </w:r>
            <w:r>
              <w:rPr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</w:r>
            <w:r>
              <w:rPr>
                <w:sz w:val="18"/>
                <w:szCs w:val="20"/>
                <w:lang w:val="en-US"/>
              </w:rPr>
            </w:r>
            <w:r>
              <w:rPr>
                <w:sz w:val="18"/>
                <w:szCs w:val="20"/>
                <w:lang w:val="en-US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 xml:space="preserve">2</w:t>
            </w:r>
            <w:r>
              <w:rPr>
                <w:sz w:val="18"/>
                <w:szCs w:val="20"/>
                <w:lang w:val="en-US"/>
              </w:rPr>
            </w:r>
            <w:r>
              <w:rPr>
                <w:sz w:val="18"/>
                <w:szCs w:val="20"/>
                <w:lang w:val="en-US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3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4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5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6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7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  <w:lang w:val="en-US"/>
              </w:rPr>
            </w:pPr>
            <w:r>
              <w:rPr>
                <w:i/>
                <w:sz w:val="18"/>
                <w:szCs w:val="20"/>
                <w:lang w:val="en-US"/>
              </w:rPr>
              <w:t xml:space="preserve">1</w:t>
            </w:r>
            <w:r>
              <w:rPr>
                <w:i/>
                <w:sz w:val="18"/>
                <w:szCs w:val="20"/>
                <w:lang w:val="en-US"/>
              </w:rPr>
            </w:r>
            <w:r>
              <w:rPr>
                <w:i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right="-1"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7"/>
        <w:gridCol w:w="2016"/>
        <w:gridCol w:w="2016"/>
        <w:gridCol w:w="2447"/>
        <w:gridCol w:w="1440"/>
        <w:gridCol w:w="1439"/>
        <w:gridCol w:w="864"/>
        <w:gridCol w:w="2735"/>
      </w:tblGrid>
      <w:tr>
        <w:tblPrEx/>
        <w:trPr>
          <w:trHeight w:val="1289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происхождения товара/регистрации производителя товара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заключенного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заключения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Срок начала исполнения договора/срок окончания исполнения договора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(без 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(с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Валюта 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Критерий отнесения организации (</w:t>
            </w:r>
            <w:r>
              <w:rPr>
                <w:sz w:val="18"/>
                <w:szCs w:val="20"/>
              </w:rPr>
              <w:t xml:space="preserve">микропредприятие</w:t>
            </w:r>
            <w:r>
              <w:rPr>
                <w:sz w:val="18"/>
                <w:szCs w:val="20"/>
              </w:rPr>
              <w:t xml:space="preserve">/малое предприятие/средние предприятие) *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8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9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10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11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12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13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14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15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pacing w:val="2"/>
          <w:sz w:val="24"/>
          <w:szCs w:val="24"/>
          <w:highlight w:val="yellow"/>
        </w:rPr>
      </w:pPr>
      <w:r>
        <w:rPr>
          <w:spacing w:val="2"/>
          <w:sz w:val="24"/>
          <w:szCs w:val="24"/>
          <w:highlight w:val="yellow"/>
        </w:rPr>
      </w:r>
      <w:r>
        <w:rPr>
          <w:spacing w:val="2"/>
          <w:sz w:val="24"/>
          <w:szCs w:val="24"/>
          <w:highlight w:val="yellow"/>
        </w:rPr>
      </w:r>
      <w:r>
        <w:rPr>
          <w:spacing w:val="2"/>
          <w:sz w:val="24"/>
          <w:szCs w:val="24"/>
          <w:highlight w:val="yellow"/>
        </w:rPr>
      </w:r>
    </w:p>
    <w:tbl>
      <w:tblPr>
        <w:tblW w:w="15841" w:type="dxa"/>
        <w:tblLayout w:type="fixed"/>
        <w:tblLook w:val="0000" w:firstRow="0" w:lastRow="0" w:firstColumn="0" w:lastColumn="0" w:noHBand="0" w:noVBand="0"/>
      </w:tblPr>
      <w:tblGrid>
        <w:gridCol w:w="7513"/>
        <w:gridCol w:w="8328"/>
      </w:tblGrid>
      <w:tr>
        <w:tblPrEx/>
        <w:trPr/>
        <w:tc>
          <w:tcPr>
            <w:tcW w:w="751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1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 ______________/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ind w:firstLine="0"/>
              <w:spacing w:line="0" w:lineRule="atLeast"/>
            </w:pPr>
            <w:r/>
            <w:r/>
          </w:p>
          <w:p>
            <w:pPr>
              <w:ind w:firstLine="0"/>
              <w:spacing w:line="0" w:lineRule="atLeast"/>
            </w:pPr>
            <w:r/>
            <w:r/>
          </w:p>
          <w:p>
            <w:pPr>
              <w:ind w:firstLine="0"/>
              <w:spacing w:line="0" w:lineRule="atLeast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spacing w:line="0" w:lineRule="atLeast"/>
            </w:pPr>
            <w:r>
              <w:rPr>
                <w:sz w:val="22"/>
                <w:szCs w:val="22"/>
              </w:rPr>
              <w:t xml:space="preserve">___________________/_________________/</w:t>
            </w: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spacing w:line="0" w:lineRule="atLeast"/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r/>
      <w:r/>
    </w:p>
    <w:sectPr>
      <w:headerReference w:type="default" r:id="rId10"/>
      <w:footerReference w:type="default" r:id="rId13"/>
      <w:footnotePr/>
      <w:endnotePr/>
      <w:type w:val="nextPage"/>
      <w:pgSz w:w="16838" w:h="11906" w:orient="landscape"/>
      <w:pgMar w:top="567" w:right="567" w:bottom="1418" w:left="567" w:header="567" w:footer="284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tilichkina-mv" w:date="2024-04-08T12:44:54Z" w:initials="t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дополнить словом "последнего"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EC5D45C" w16cex:dateUtc="2024-04-08T02:44:5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EC5D4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Droid Sans Devanagari">
    <w:panose1 w:val="020B060603080402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0"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0"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</w:r>
    <w:r>
      <w:rPr>
        <w:sz w:val="20"/>
        <w:szCs w:val="20"/>
      </w:rPr>
    </w:r>
  </w:p>
  <w:p>
    <w:pPr>
      <w:pStyle w:val="12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9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68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23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pStyle w:val="1193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6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pStyle w:val="1215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216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217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218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pStyle w:val="1185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86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87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5823" w:hanging="720"/>
      </w:pPr>
      <w:rPr>
        <w:rFonts w:hint="default"/>
        <w:sz w:val="28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sz w:val="28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585" w:hanging="1080"/>
      </w:pPr>
      <w:rPr>
        <w:rFonts w:hint="default"/>
        <w:sz w:val="28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sz w:val="28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47" w:hanging="1440"/>
      </w:pPr>
      <w:rPr>
        <w:rFonts w:hint="default"/>
        <w:sz w:val="28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408" w:hanging="1800"/>
      </w:pPr>
      <w:rPr>
        <w:rFonts w:hint="default"/>
        <w:sz w:val="28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6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7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61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8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1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1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1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rFonts w:ascii="Times New Roman" w:hAnsi="Times New Roman" w:eastAsia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 w:val="0"/>
        <w:color w:val="000000"/>
        <w:u w:val="none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90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9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9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  <w:tabs>
          <w:tab w:val="num" w:pos="0" w:leader="none"/>
        </w:tabs>
      </w:pPr>
    </w:lvl>
  </w:abstractNum>
  <w:abstractNum w:abstractNumId="9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9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0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0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0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1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13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1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1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1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23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num w:numId="1">
    <w:abstractNumId w:val="38"/>
  </w:num>
  <w:num w:numId="2">
    <w:abstractNumId w:val="20"/>
  </w:num>
  <w:num w:numId="3">
    <w:abstractNumId w:val="37"/>
  </w:num>
  <w:num w:numId="4">
    <w:abstractNumId w:val="32"/>
  </w:num>
  <w:num w:numId="5">
    <w:abstractNumId w:val="4"/>
  </w:num>
  <w:num w:numId="6">
    <w:abstractNumId w:val="27"/>
  </w:num>
  <w:num w:numId="7">
    <w:abstractNumId w:val="25"/>
  </w:num>
  <w:num w:numId="8">
    <w:abstractNumId w:val="1"/>
  </w:num>
  <w:num w:numId="9">
    <w:abstractNumId w:val="8"/>
  </w:num>
  <w:num w:numId="10">
    <w:abstractNumId w:val="39"/>
  </w:num>
  <w:num w:numId="11">
    <w:abstractNumId w:val="18"/>
  </w:num>
  <w:num w:numId="12">
    <w:abstractNumId w:val="34"/>
  </w:num>
  <w:num w:numId="13">
    <w:abstractNumId w:val="2"/>
  </w:num>
  <w:num w:numId="14">
    <w:abstractNumId w:val="10"/>
  </w:num>
  <w:num w:numId="15">
    <w:abstractNumId w:val="12"/>
  </w:num>
  <w:num w:numId="16">
    <w:abstractNumId w:val="11"/>
  </w:num>
  <w:num w:numId="17">
    <w:abstractNumId w:val="23"/>
  </w:num>
  <w:num w:numId="18">
    <w:abstractNumId w:val="31"/>
  </w:num>
  <w:num w:numId="19">
    <w:abstractNumId w:val="14"/>
  </w:num>
  <w:num w:numId="20">
    <w:abstractNumId w:val="7"/>
  </w:num>
  <w:num w:numId="21">
    <w:abstractNumId w:val="5"/>
  </w:num>
  <w:num w:numId="22">
    <w:abstractNumId w:val="6"/>
  </w:num>
  <w:num w:numId="23">
    <w:abstractNumId w:val="35"/>
  </w:num>
  <w:num w:numId="24">
    <w:abstractNumId w:val="29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41"/>
  </w:num>
  <w:num w:numId="28">
    <w:abstractNumId w:val="21"/>
  </w:num>
  <w:num w:numId="29">
    <w:abstractNumId w:val="17"/>
  </w:num>
  <w:num w:numId="30">
    <w:abstractNumId w:val="26"/>
  </w:num>
  <w:num w:numId="31">
    <w:abstractNumId w:val="24"/>
  </w:num>
  <w:num w:numId="32">
    <w:abstractNumId w:val="36"/>
  </w:num>
  <w:num w:numId="33">
    <w:abstractNumId w:val="0"/>
  </w:num>
  <w:num w:numId="34">
    <w:abstractNumId w:val="16"/>
  </w:num>
  <w:num w:numId="35">
    <w:abstractNumId w:val="19"/>
  </w:num>
  <w:num w:numId="36">
    <w:abstractNumId w:val="3"/>
  </w:num>
  <w:num w:numId="37">
    <w:abstractNumId w:val="30"/>
  </w:num>
  <w:num w:numId="38">
    <w:abstractNumId w:val="40"/>
  </w:num>
  <w:num w:numId="39">
    <w:abstractNumId w:val="13"/>
  </w:num>
  <w:num w:numId="40">
    <w:abstractNumId w:val="9"/>
  </w:num>
  <w:num w:numId="41">
    <w:abstractNumId w:val="28"/>
  </w:num>
  <w:num w:numId="42">
    <w:abstractNumId w:val="15"/>
  </w:num>
  <w:num w:numId="43">
    <w:abstractNumId w:val="22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</w:num>
  <w:num w:numId="83">
    <w:abstractNumId w:val="81"/>
  </w:num>
  <w:num w:numId="84">
    <w:abstractNumId w:val="82"/>
  </w:num>
  <w:num w:numId="85">
    <w:abstractNumId w:val="83"/>
  </w:num>
  <w:num w:numId="86">
    <w:abstractNumId w:val="84"/>
  </w:num>
  <w:num w:numId="87">
    <w:abstractNumId w:val="85"/>
  </w:num>
  <w:num w:numId="88">
    <w:abstractNumId w:val="86"/>
  </w:num>
  <w:num w:numId="89">
    <w:abstractNumId w:val="87"/>
  </w:num>
  <w:num w:numId="90">
    <w:abstractNumId w:val="88"/>
  </w:num>
  <w:num w:numId="91">
    <w:abstractNumId w:val="89"/>
  </w:num>
  <w:num w:numId="92">
    <w:abstractNumId w:val="90"/>
  </w:num>
  <w:num w:numId="93">
    <w:abstractNumId w:val="91"/>
  </w:num>
  <w:num w:numId="94">
    <w:abstractNumId w:val="92"/>
  </w:num>
  <w:num w:numId="95">
    <w:abstractNumId w:val="93"/>
  </w:num>
  <w:num w:numId="96">
    <w:abstractNumId w:val="94"/>
  </w:num>
  <w:num w:numId="97">
    <w:abstractNumId w:val="95"/>
  </w:num>
  <w:num w:numId="98">
    <w:abstractNumId w:val="96"/>
  </w:num>
  <w:num w:numId="99">
    <w:abstractNumId w:val="97"/>
  </w:num>
  <w:num w:numId="100">
    <w:abstractNumId w:val="98"/>
  </w:num>
  <w:num w:numId="101">
    <w:abstractNumId w:val="99"/>
  </w:num>
  <w:num w:numId="102">
    <w:abstractNumId w:val="100"/>
  </w:num>
  <w:num w:numId="103">
    <w:abstractNumId w:val="101"/>
  </w:num>
  <w:num w:numId="104">
    <w:abstractNumId w:val="102"/>
  </w:num>
  <w:num w:numId="105">
    <w:abstractNumId w:val="103"/>
  </w:num>
  <w:num w:numId="106">
    <w:abstractNumId w:val="104"/>
  </w:num>
  <w:num w:numId="107">
    <w:abstractNumId w:val="105"/>
  </w:num>
  <w:num w:numId="108">
    <w:abstractNumId w:val="106"/>
  </w:num>
  <w:num w:numId="109">
    <w:abstractNumId w:val="107"/>
  </w:num>
  <w:num w:numId="110">
    <w:abstractNumId w:val="108"/>
  </w:num>
  <w:num w:numId="111">
    <w:abstractNumId w:val="109"/>
  </w:num>
  <w:num w:numId="112">
    <w:abstractNumId w:val="110"/>
  </w:num>
  <w:num w:numId="113">
    <w:abstractNumId w:val="111"/>
  </w:num>
  <w:num w:numId="114">
    <w:abstractNumId w:val="112"/>
  </w:num>
  <w:num w:numId="115">
    <w:abstractNumId w:val="113"/>
  </w:num>
  <w:num w:numId="116">
    <w:abstractNumId w:val="114"/>
  </w:num>
  <w:num w:numId="117">
    <w:abstractNumId w:val="115"/>
  </w:num>
  <w:num w:numId="118">
    <w:abstractNumId w:val="116"/>
  </w:num>
  <w:num w:numId="119">
    <w:abstractNumId w:val="117"/>
  </w:num>
  <w:num w:numId="120">
    <w:abstractNumId w:val="118"/>
  </w:num>
  <w:num w:numId="121">
    <w:abstractNumId w:val="119"/>
  </w:num>
  <w:num w:numId="122">
    <w:abstractNumId w:val="120"/>
  </w:num>
  <w:num w:numId="123">
    <w:abstractNumId w:val="121"/>
  </w:num>
  <w:num w:numId="124">
    <w:abstractNumId w:val="122"/>
  </w:num>
  <w:num w:numId="125">
    <w:abstractNumId w:val="123"/>
  </w:num>
  <w:num w:numId="126">
    <w:abstractNumId w:val="124"/>
  </w:num>
  <w:num w:numId="127">
    <w:abstractNumId w:val="125"/>
  </w:num>
  <w:num w:numId="128">
    <w:abstractNumId w:val="126"/>
  </w:num>
  <w:num w:numId="129">
    <w:abstractNumId w:val="1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lichkina-mv">
    <w15:presenceInfo w15:providerId="Teamlab" w15:userId="tilichkina-m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88">
    <w:name w:val="Heading 4 Char"/>
    <w:basedOn w:val="1007"/>
    <w:link w:val="1001"/>
    <w:uiPriority w:val="9"/>
    <w:rPr>
      <w:rFonts w:ascii="Arial" w:hAnsi="Arial" w:eastAsia="Arial" w:cs="Arial"/>
      <w:b/>
      <w:bCs/>
      <w:sz w:val="26"/>
      <w:szCs w:val="26"/>
    </w:rPr>
  </w:style>
  <w:style w:type="character" w:styleId="989">
    <w:name w:val="Heading 5 Char"/>
    <w:basedOn w:val="1007"/>
    <w:link w:val="1002"/>
    <w:uiPriority w:val="9"/>
    <w:rPr>
      <w:rFonts w:ascii="Arial" w:hAnsi="Arial" w:eastAsia="Arial" w:cs="Arial"/>
      <w:b/>
      <w:bCs/>
      <w:sz w:val="24"/>
      <w:szCs w:val="24"/>
    </w:rPr>
  </w:style>
  <w:style w:type="character" w:styleId="990">
    <w:name w:val="Heading 6 Char"/>
    <w:basedOn w:val="1007"/>
    <w:link w:val="1003"/>
    <w:uiPriority w:val="9"/>
    <w:rPr>
      <w:rFonts w:ascii="Arial" w:hAnsi="Arial" w:eastAsia="Arial" w:cs="Arial"/>
      <w:b/>
      <w:bCs/>
      <w:sz w:val="22"/>
      <w:szCs w:val="22"/>
    </w:rPr>
  </w:style>
  <w:style w:type="character" w:styleId="991">
    <w:name w:val="Heading 7 Char"/>
    <w:basedOn w:val="1007"/>
    <w:link w:val="10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92">
    <w:name w:val="Heading 8 Char"/>
    <w:basedOn w:val="1007"/>
    <w:link w:val="1005"/>
    <w:uiPriority w:val="9"/>
    <w:rPr>
      <w:rFonts w:ascii="Arial" w:hAnsi="Arial" w:eastAsia="Arial" w:cs="Arial"/>
      <w:i/>
      <w:iCs/>
      <w:sz w:val="22"/>
      <w:szCs w:val="22"/>
    </w:rPr>
  </w:style>
  <w:style w:type="character" w:styleId="993">
    <w:name w:val="Heading 9 Char"/>
    <w:basedOn w:val="1007"/>
    <w:link w:val="1006"/>
    <w:uiPriority w:val="9"/>
    <w:rPr>
      <w:rFonts w:ascii="Arial" w:hAnsi="Arial" w:eastAsia="Arial" w:cs="Arial"/>
      <w:i/>
      <w:iCs/>
      <w:sz w:val="21"/>
      <w:szCs w:val="21"/>
    </w:rPr>
  </w:style>
  <w:style w:type="character" w:styleId="994">
    <w:name w:val="Subtitle Char"/>
    <w:basedOn w:val="1007"/>
    <w:link w:val="1021"/>
    <w:uiPriority w:val="11"/>
    <w:rPr>
      <w:sz w:val="24"/>
      <w:szCs w:val="24"/>
    </w:rPr>
  </w:style>
  <w:style w:type="character" w:styleId="995">
    <w:name w:val="Quote Char"/>
    <w:link w:val="1023"/>
    <w:uiPriority w:val="29"/>
    <w:rPr>
      <w:i/>
    </w:rPr>
  </w:style>
  <w:style w:type="character" w:styleId="996">
    <w:name w:val="Intense Quote Char"/>
    <w:link w:val="1025"/>
    <w:uiPriority w:val="30"/>
    <w:rPr>
      <w:i/>
    </w:rPr>
  </w:style>
  <w:style w:type="paragraph" w:styleId="99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98">
    <w:name w:val="Heading 1"/>
    <w:basedOn w:val="997"/>
    <w:next w:val="997"/>
    <w:link w:val="1206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99">
    <w:name w:val="Heading 2"/>
    <w:basedOn w:val="997"/>
    <w:next w:val="997"/>
    <w:link w:val="1207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00">
    <w:name w:val="Heading 3"/>
    <w:basedOn w:val="997"/>
    <w:next w:val="997"/>
    <w:link w:val="1183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1001">
    <w:name w:val="Heading 4"/>
    <w:basedOn w:val="997"/>
    <w:next w:val="997"/>
    <w:link w:val="10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002">
    <w:name w:val="Heading 5"/>
    <w:basedOn w:val="997"/>
    <w:next w:val="997"/>
    <w:link w:val="10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003">
    <w:name w:val="Heading 6"/>
    <w:basedOn w:val="997"/>
    <w:next w:val="997"/>
    <w:link w:val="10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1004">
    <w:name w:val="Heading 7"/>
    <w:basedOn w:val="997"/>
    <w:next w:val="997"/>
    <w:link w:val="10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005">
    <w:name w:val="Heading 8"/>
    <w:basedOn w:val="997"/>
    <w:next w:val="997"/>
    <w:link w:val="10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06">
    <w:name w:val="Heading 9"/>
    <w:basedOn w:val="997"/>
    <w:next w:val="997"/>
    <w:link w:val="10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07" w:default="1">
    <w:name w:val="Default Paragraph Font"/>
    <w:uiPriority w:val="1"/>
    <w:semiHidden/>
    <w:unhideWhenUsed/>
  </w:style>
  <w:style w:type="table" w:styleId="10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9" w:default="1">
    <w:name w:val="No List"/>
    <w:uiPriority w:val="99"/>
    <w:semiHidden/>
    <w:unhideWhenUsed/>
  </w:style>
  <w:style w:type="character" w:styleId="1010" w:customStyle="1">
    <w:name w:val="Heading 1 Char"/>
    <w:basedOn w:val="1007"/>
    <w:uiPriority w:val="9"/>
    <w:rPr>
      <w:rFonts w:ascii="Arial" w:hAnsi="Arial" w:eastAsia="Arial" w:cs="Arial"/>
      <w:sz w:val="40"/>
      <w:szCs w:val="40"/>
    </w:rPr>
  </w:style>
  <w:style w:type="character" w:styleId="1011" w:customStyle="1">
    <w:name w:val="Heading 2 Char"/>
    <w:basedOn w:val="1007"/>
    <w:uiPriority w:val="9"/>
    <w:rPr>
      <w:rFonts w:ascii="Arial" w:hAnsi="Arial" w:eastAsia="Arial" w:cs="Arial"/>
      <w:sz w:val="34"/>
    </w:rPr>
  </w:style>
  <w:style w:type="character" w:styleId="1012" w:customStyle="1">
    <w:name w:val="Heading 3 Char"/>
    <w:basedOn w:val="1007"/>
    <w:uiPriority w:val="9"/>
    <w:rPr>
      <w:rFonts w:ascii="Arial" w:hAnsi="Arial" w:eastAsia="Arial" w:cs="Arial"/>
      <w:sz w:val="30"/>
      <w:szCs w:val="30"/>
    </w:rPr>
  </w:style>
  <w:style w:type="character" w:styleId="1013" w:customStyle="1">
    <w:name w:val="Заголовок 4 Знак"/>
    <w:basedOn w:val="1007"/>
    <w:link w:val="1001"/>
    <w:uiPriority w:val="9"/>
    <w:rPr>
      <w:rFonts w:ascii="Arial" w:hAnsi="Arial" w:eastAsia="Arial" w:cs="Arial"/>
      <w:b/>
      <w:bCs/>
      <w:sz w:val="26"/>
      <w:szCs w:val="26"/>
    </w:rPr>
  </w:style>
  <w:style w:type="character" w:styleId="1014" w:customStyle="1">
    <w:name w:val="Заголовок 5 Знак"/>
    <w:basedOn w:val="1007"/>
    <w:link w:val="1002"/>
    <w:uiPriority w:val="9"/>
    <w:rPr>
      <w:rFonts w:ascii="Arial" w:hAnsi="Arial" w:eastAsia="Arial" w:cs="Arial"/>
      <w:b/>
      <w:bCs/>
      <w:sz w:val="24"/>
      <w:szCs w:val="24"/>
    </w:rPr>
  </w:style>
  <w:style w:type="character" w:styleId="1015" w:customStyle="1">
    <w:name w:val="Заголовок 6 Знак"/>
    <w:basedOn w:val="1007"/>
    <w:link w:val="1003"/>
    <w:uiPriority w:val="9"/>
    <w:rPr>
      <w:rFonts w:ascii="Arial" w:hAnsi="Arial" w:eastAsia="Arial" w:cs="Arial"/>
      <w:b/>
      <w:bCs/>
      <w:sz w:val="22"/>
      <w:szCs w:val="22"/>
    </w:rPr>
  </w:style>
  <w:style w:type="character" w:styleId="1016" w:customStyle="1">
    <w:name w:val="Заголовок 7 Знак"/>
    <w:basedOn w:val="1007"/>
    <w:link w:val="10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17" w:customStyle="1">
    <w:name w:val="Заголовок 8 Знак"/>
    <w:basedOn w:val="1007"/>
    <w:link w:val="1005"/>
    <w:uiPriority w:val="9"/>
    <w:rPr>
      <w:rFonts w:ascii="Arial" w:hAnsi="Arial" w:eastAsia="Arial" w:cs="Arial"/>
      <w:i/>
      <w:iCs/>
      <w:sz w:val="22"/>
      <w:szCs w:val="22"/>
    </w:rPr>
  </w:style>
  <w:style w:type="character" w:styleId="1018" w:customStyle="1">
    <w:name w:val="Заголовок 9 Знак"/>
    <w:basedOn w:val="1007"/>
    <w:link w:val="1006"/>
    <w:uiPriority w:val="9"/>
    <w:rPr>
      <w:rFonts w:ascii="Arial" w:hAnsi="Arial" w:eastAsia="Arial" w:cs="Arial"/>
      <w:i/>
      <w:iCs/>
      <w:sz w:val="21"/>
      <w:szCs w:val="21"/>
    </w:rPr>
  </w:style>
  <w:style w:type="paragraph" w:styleId="1019">
    <w:name w:val="No Spacing"/>
    <w:uiPriority w:val="1"/>
    <w:qFormat/>
  </w:style>
  <w:style w:type="character" w:styleId="1020" w:customStyle="1">
    <w:name w:val="Title Char"/>
    <w:basedOn w:val="1007"/>
    <w:uiPriority w:val="10"/>
    <w:rPr>
      <w:sz w:val="48"/>
      <w:szCs w:val="48"/>
    </w:rPr>
  </w:style>
  <w:style w:type="paragraph" w:styleId="1021">
    <w:name w:val="Subtitle"/>
    <w:basedOn w:val="997"/>
    <w:next w:val="997"/>
    <w:link w:val="1022"/>
    <w:uiPriority w:val="11"/>
    <w:qFormat/>
    <w:pPr>
      <w:spacing w:before="200" w:after="200"/>
    </w:pPr>
    <w:rPr>
      <w:sz w:val="24"/>
      <w:szCs w:val="24"/>
    </w:rPr>
  </w:style>
  <w:style w:type="character" w:styleId="1022" w:customStyle="1">
    <w:name w:val="Подзаголовок Знак"/>
    <w:basedOn w:val="1007"/>
    <w:link w:val="1021"/>
    <w:uiPriority w:val="11"/>
    <w:rPr>
      <w:sz w:val="24"/>
      <w:szCs w:val="24"/>
    </w:rPr>
  </w:style>
  <w:style w:type="paragraph" w:styleId="1023">
    <w:name w:val="Quote"/>
    <w:basedOn w:val="997"/>
    <w:next w:val="997"/>
    <w:link w:val="1024"/>
    <w:uiPriority w:val="29"/>
    <w:qFormat/>
    <w:pPr>
      <w:ind w:left="720" w:right="720"/>
    </w:pPr>
    <w:rPr>
      <w:i/>
    </w:rPr>
  </w:style>
  <w:style w:type="character" w:styleId="1024" w:customStyle="1">
    <w:name w:val="Цитата 2 Знак"/>
    <w:link w:val="1023"/>
    <w:uiPriority w:val="29"/>
    <w:rPr>
      <w:i/>
    </w:rPr>
  </w:style>
  <w:style w:type="paragraph" w:styleId="1025">
    <w:name w:val="Intense Quote"/>
    <w:basedOn w:val="997"/>
    <w:next w:val="997"/>
    <w:link w:val="10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26" w:customStyle="1">
    <w:name w:val="Выделенная цитата Знак"/>
    <w:link w:val="1025"/>
    <w:uiPriority w:val="30"/>
    <w:rPr>
      <w:i/>
    </w:rPr>
  </w:style>
  <w:style w:type="character" w:styleId="1027" w:customStyle="1">
    <w:name w:val="Header Char"/>
    <w:basedOn w:val="1007"/>
    <w:uiPriority w:val="99"/>
  </w:style>
  <w:style w:type="character" w:styleId="1028" w:customStyle="1">
    <w:name w:val="Footer Char"/>
    <w:basedOn w:val="1007"/>
    <w:uiPriority w:val="99"/>
  </w:style>
  <w:style w:type="character" w:styleId="1029" w:customStyle="1">
    <w:name w:val="Caption Char"/>
    <w:uiPriority w:val="99"/>
  </w:style>
  <w:style w:type="table" w:styleId="1030" w:customStyle="1">
    <w:name w:val="Table Grid Light"/>
    <w:basedOn w:val="100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1">
    <w:name w:val="Plain Table 1"/>
    <w:basedOn w:val="100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2">
    <w:name w:val="Plain Table 2"/>
    <w:basedOn w:val="1008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3">
    <w:name w:val="Plain Table 3"/>
    <w:basedOn w:val="100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34">
    <w:name w:val="Plain Table 4"/>
    <w:basedOn w:val="100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Plain Table 5"/>
    <w:basedOn w:val="100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36">
    <w:name w:val="Grid Table 1 Light"/>
    <w:basedOn w:val="1008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 w:customStyle="1">
    <w:name w:val="Grid Table 1 Light - Accent 1"/>
    <w:basedOn w:val="100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 w:customStyle="1">
    <w:name w:val="Grid Table 1 Light - Accent 2"/>
    <w:basedOn w:val="100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 w:customStyle="1">
    <w:name w:val="Grid Table 1 Light - Accent 3"/>
    <w:basedOn w:val="100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 w:customStyle="1">
    <w:name w:val="Grid Table 1 Light - Accent 4"/>
    <w:basedOn w:val="100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 w:customStyle="1">
    <w:name w:val="Grid Table 1 Light - Accent 5"/>
    <w:basedOn w:val="100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 w:customStyle="1">
    <w:name w:val="Grid Table 1 Light - Accent 6"/>
    <w:basedOn w:val="100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Grid Table 2"/>
    <w:basedOn w:val="100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Grid Table 2 - Accent 1"/>
    <w:basedOn w:val="100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Grid Table 2 - Accent 2"/>
    <w:basedOn w:val="100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Grid Table 2 - Accent 3"/>
    <w:basedOn w:val="100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Grid Table 2 - Accent 4"/>
    <w:basedOn w:val="100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Grid Table 2 - Accent 5"/>
    <w:basedOn w:val="100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Grid Table 2 - Accent 6"/>
    <w:basedOn w:val="100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3"/>
    <w:basedOn w:val="100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Grid Table 3 - Accent 1"/>
    <w:basedOn w:val="100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Grid Table 3 - Accent 2"/>
    <w:basedOn w:val="100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Grid Table 3 - Accent 3"/>
    <w:basedOn w:val="100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Grid Table 3 - Accent 4"/>
    <w:basedOn w:val="100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Grid Table 3 - Accent 5"/>
    <w:basedOn w:val="100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Grid Table 3 - Accent 6"/>
    <w:basedOn w:val="100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4"/>
    <w:basedOn w:val="1008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58" w:customStyle="1">
    <w:name w:val="Grid Table 4 - Accent 1"/>
    <w:basedOn w:val="1008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059" w:customStyle="1">
    <w:name w:val="Grid Table 4 - Accent 2"/>
    <w:basedOn w:val="1008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060" w:customStyle="1">
    <w:name w:val="Grid Table 4 - Accent 3"/>
    <w:basedOn w:val="1008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061" w:customStyle="1">
    <w:name w:val="Grid Table 4 - Accent 4"/>
    <w:basedOn w:val="1008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062" w:customStyle="1">
    <w:name w:val="Grid Table 4 - Accent 5"/>
    <w:basedOn w:val="1008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063" w:customStyle="1">
    <w:name w:val="Grid Table 4 - Accent 6"/>
    <w:basedOn w:val="1008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064">
    <w:name w:val="Grid Table 5 Dark"/>
    <w:basedOn w:val="100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65" w:customStyle="1">
    <w:name w:val="Grid Table 5 Dark- Accent 1"/>
    <w:basedOn w:val="100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066" w:customStyle="1">
    <w:name w:val="Grid Table 5 Dark - Accent 2"/>
    <w:basedOn w:val="100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067" w:customStyle="1">
    <w:name w:val="Grid Table 5 Dark - Accent 3"/>
    <w:basedOn w:val="100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068" w:customStyle="1">
    <w:name w:val="Grid Table 5 Dark- Accent 4"/>
    <w:basedOn w:val="100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069" w:customStyle="1">
    <w:name w:val="Grid Table 5 Dark - Accent 5"/>
    <w:basedOn w:val="100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070" w:customStyle="1">
    <w:name w:val="Grid Table 5 Dark - Accent 6"/>
    <w:basedOn w:val="100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071">
    <w:name w:val="Grid Table 6 Colorful"/>
    <w:basedOn w:val="100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72" w:customStyle="1">
    <w:name w:val="Grid Table 6 Colorful - Accent 1"/>
    <w:basedOn w:val="1008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073" w:customStyle="1">
    <w:name w:val="Grid Table 6 Colorful - Accent 2"/>
    <w:basedOn w:val="100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074" w:customStyle="1">
    <w:name w:val="Grid Table 6 Colorful - Accent 3"/>
    <w:basedOn w:val="1008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075" w:customStyle="1">
    <w:name w:val="Grid Table 6 Colorful - Accent 4"/>
    <w:basedOn w:val="100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076" w:customStyle="1">
    <w:name w:val="Grid Table 6 Colorful - Accent 5"/>
    <w:basedOn w:val="1008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77" w:customStyle="1">
    <w:name w:val="Grid Table 6 Colorful - Accent 6"/>
    <w:basedOn w:val="1008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78">
    <w:name w:val="Grid Table 7 Colorful"/>
    <w:basedOn w:val="1008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 w:customStyle="1">
    <w:name w:val="Grid Table 7 Colorful - Accent 1"/>
    <w:basedOn w:val="1008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 w:customStyle="1">
    <w:name w:val="Grid Table 7 Colorful - Accent 2"/>
    <w:basedOn w:val="100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 w:customStyle="1">
    <w:name w:val="Grid Table 7 Colorful - Accent 3"/>
    <w:basedOn w:val="100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 w:customStyle="1">
    <w:name w:val="Grid Table 7 Colorful - Accent 4"/>
    <w:basedOn w:val="100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 w:customStyle="1">
    <w:name w:val="Grid Table 7 Colorful - Accent 5"/>
    <w:basedOn w:val="1008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 w:customStyle="1">
    <w:name w:val="Grid Table 7 Colorful - Accent 6"/>
    <w:basedOn w:val="1008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>
    <w:name w:val="List Table 1 Light"/>
    <w:basedOn w:val="100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 w:customStyle="1">
    <w:name w:val="List Table 1 Light - Accent 1"/>
    <w:basedOn w:val="100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 w:customStyle="1">
    <w:name w:val="List Table 1 Light - Accent 2"/>
    <w:basedOn w:val="100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 w:customStyle="1">
    <w:name w:val="List Table 1 Light - Accent 3"/>
    <w:basedOn w:val="100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 w:customStyle="1">
    <w:name w:val="List Table 1 Light - Accent 4"/>
    <w:basedOn w:val="100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 w:customStyle="1">
    <w:name w:val="List Table 1 Light - Accent 5"/>
    <w:basedOn w:val="100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 w:customStyle="1">
    <w:name w:val="List Table 1 Light - Accent 6"/>
    <w:basedOn w:val="100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>
    <w:name w:val="List Table 2"/>
    <w:basedOn w:val="1008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93" w:customStyle="1">
    <w:name w:val="List Table 2 - Accent 1"/>
    <w:basedOn w:val="100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94" w:customStyle="1">
    <w:name w:val="List Table 2 - Accent 2"/>
    <w:basedOn w:val="100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95" w:customStyle="1">
    <w:name w:val="List Table 2 - Accent 3"/>
    <w:basedOn w:val="100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96" w:customStyle="1">
    <w:name w:val="List Table 2 - Accent 4"/>
    <w:basedOn w:val="100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97" w:customStyle="1">
    <w:name w:val="List Table 2 - Accent 5"/>
    <w:basedOn w:val="100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98" w:customStyle="1">
    <w:name w:val="List Table 2 - Accent 6"/>
    <w:basedOn w:val="100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99">
    <w:name w:val="List Table 3"/>
    <w:basedOn w:val="100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0" w:customStyle="1">
    <w:name w:val="List Table 3 - Accent 1"/>
    <w:basedOn w:val="100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1" w:customStyle="1">
    <w:name w:val="List Table 3 - Accent 2"/>
    <w:basedOn w:val="100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2" w:customStyle="1">
    <w:name w:val="List Table 3 - Accent 3"/>
    <w:basedOn w:val="100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3" w:customStyle="1">
    <w:name w:val="List Table 3 - Accent 4"/>
    <w:basedOn w:val="100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4" w:customStyle="1">
    <w:name w:val="List Table 3 - Accent 5"/>
    <w:basedOn w:val="100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 w:customStyle="1">
    <w:name w:val="List Table 3 - Accent 6"/>
    <w:basedOn w:val="100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>
    <w:name w:val="List Table 4"/>
    <w:basedOn w:val="100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 w:customStyle="1">
    <w:name w:val="List Table 4 - Accent 1"/>
    <w:basedOn w:val="100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 w:customStyle="1">
    <w:name w:val="List Table 4 - Accent 2"/>
    <w:basedOn w:val="100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9" w:customStyle="1">
    <w:name w:val="List Table 4 - Accent 3"/>
    <w:basedOn w:val="100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0" w:customStyle="1">
    <w:name w:val="List Table 4 - Accent 4"/>
    <w:basedOn w:val="100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1" w:customStyle="1">
    <w:name w:val="List Table 4 - Accent 5"/>
    <w:basedOn w:val="100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 w:customStyle="1">
    <w:name w:val="List Table 4 - Accent 6"/>
    <w:basedOn w:val="100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>
    <w:name w:val="List Table 5 Dark"/>
    <w:basedOn w:val="100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4" w:customStyle="1">
    <w:name w:val="List Table 5 Dark - Accent 1"/>
    <w:basedOn w:val="1008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5" w:customStyle="1">
    <w:name w:val="List Table 5 Dark - Accent 2"/>
    <w:basedOn w:val="100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6" w:customStyle="1">
    <w:name w:val="List Table 5 Dark - Accent 3"/>
    <w:basedOn w:val="100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7" w:customStyle="1">
    <w:name w:val="List Table 5 Dark - Accent 4"/>
    <w:basedOn w:val="100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8" w:customStyle="1">
    <w:name w:val="List Table 5 Dark - Accent 5"/>
    <w:basedOn w:val="100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9" w:customStyle="1">
    <w:name w:val="List Table 5 Dark - Accent 6"/>
    <w:basedOn w:val="100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20">
    <w:name w:val="List Table 6 Colorful"/>
    <w:basedOn w:val="100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121" w:customStyle="1">
    <w:name w:val="List Table 6 Colorful - Accent 1"/>
    <w:basedOn w:val="100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122" w:customStyle="1">
    <w:name w:val="List Table 6 Colorful - Accent 2"/>
    <w:basedOn w:val="100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123" w:customStyle="1">
    <w:name w:val="List Table 6 Colorful - Accent 3"/>
    <w:basedOn w:val="100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124" w:customStyle="1">
    <w:name w:val="List Table 6 Colorful - Accent 4"/>
    <w:basedOn w:val="100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125" w:customStyle="1">
    <w:name w:val="List Table 6 Colorful - Accent 5"/>
    <w:basedOn w:val="100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126" w:customStyle="1">
    <w:name w:val="List Table 6 Colorful - Accent 6"/>
    <w:basedOn w:val="100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127">
    <w:name w:val="List Table 7 Colorful"/>
    <w:basedOn w:val="1008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8" w:customStyle="1">
    <w:name w:val="List Table 7 Colorful - Accent 1"/>
    <w:basedOn w:val="1008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9" w:customStyle="1">
    <w:name w:val="List Table 7 Colorful - Accent 2"/>
    <w:basedOn w:val="1008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0" w:customStyle="1">
    <w:name w:val="List Table 7 Colorful - Accent 3"/>
    <w:basedOn w:val="1008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1" w:customStyle="1">
    <w:name w:val="List Table 7 Colorful - Accent 4"/>
    <w:basedOn w:val="1008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2" w:customStyle="1">
    <w:name w:val="List Table 7 Colorful - Accent 5"/>
    <w:basedOn w:val="1008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3" w:customStyle="1">
    <w:name w:val="List Table 7 Colorful - Accent 6"/>
    <w:basedOn w:val="1008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4" w:customStyle="1">
    <w:name w:val="Lined - Accent"/>
    <w:basedOn w:val="100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35" w:customStyle="1">
    <w:name w:val="Lined - Accent 1"/>
    <w:basedOn w:val="100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36" w:customStyle="1">
    <w:name w:val="Lined - Accent 2"/>
    <w:basedOn w:val="100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37" w:customStyle="1">
    <w:name w:val="Lined - Accent 3"/>
    <w:basedOn w:val="100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38" w:customStyle="1">
    <w:name w:val="Lined - Accent 4"/>
    <w:basedOn w:val="100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39" w:customStyle="1">
    <w:name w:val="Lined - Accent 5"/>
    <w:basedOn w:val="100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40" w:customStyle="1">
    <w:name w:val="Lined - Accent 6"/>
    <w:basedOn w:val="100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41" w:customStyle="1">
    <w:name w:val="Bordered &amp; Lined - Accent"/>
    <w:basedOn w:val="100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42" w:customStyle="1">
    <w:name w:val="Bordered &amp; Lined - Accent 1"/>
    <w:basedOn w:val="100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43" w:customStyle="1">
    <w:name w:val="Bordered &amp; Lined - Accent 2"/>
    <w:basedOn w:val="100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44" w:customStyle="1">
    <w:name w:val="Bordered &amp; Lined - Accent 3"/>
    <w:basedOn w:val="100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45" w:customStyle="1">
    <w:name w:val="Bordered &amp; Lined - Accent 4"/>
    <w:basedOn w:val="100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46" w:customStyle="1">
    <w:name w:val="Bordered &amp; Lined - Accent 5"/>
    <w:basedOn w:val="100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47" w:customStyle="1">
    <w:name w:val="Bordered &amp; Lined - Accent 6"/>
    <w:basedOn w:val="100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48" w:customStyle="1">
    <w:name w:val="Bordered"/>
    <w:basedOn w:val="1008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49" w:customStyle="1">
    <w:name w:val="Bordered - Accent 1"/>
    <w:basedOn w:val="100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150" w:customStyle="1">
    <w:name w:val="Bordered - Accent 2"/>
    <w:basedOn w:val="100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151" w:customStyle="1">
    <w:name w:val="Bordered - Accent 3"/>
    <w:basedOn w:val="100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152" w:customStyle="1">
    <w:name w:val="Bordered - Accent 4"/>
    <w:basedOn w:val="100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153" w:customStyle="1">
    <w:name w:val="Bordered - Accent 5"/>
    <w:basedOn w:val="100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154" w:customStyle="1">
    <w:name w:val="Bordered - Accent 6"/>
    <w:basedOn w:val="100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155" w:customStyle="1">
    <w:name w:val="Footnote Text Char"/>
    <w:uiPriority w:val="99"/>
    <w:rPr>
      <w:sz w:val="18"/>
    </w:rPr>
  </w:style>
  <w:style w:type="character" w:styleId="1156" w:customStyle="1">
    <w:name w:val="Endnote Text Char"/>
    <w:uiPriority w:val="99"/>
    <w:rPr>
      <w:sz w:val="20"/>
    </w:rPr>
  </w:style>
  <w:style w:type="paragraph" w:styleId="1157">
    <w:name w:val="toc 1"/>
    <w:basedOn w:val="997"/>
    <w:next w:val="997"/>
    <w:uiPriority w:val="39"/>
    <w:unhideWhenUsed/>
    <w:pPr>
      <w:ind w:firstLine="0"/>
      <w:spacing w:after="57"/>
    </w:pPr>
  </w:style>
  <w:style w:type="paragraph" w:styleId="1158">
    <w:name w:val="toc 2"/>
    <w:basedOn w:val="997"/>
    <w:next w:val="997"/>
    <w:uiPriority w:val="39"/>
    <w:unhideWhenUsed/>
    <w:pPr>
      <w:ind w:left="283" w:firstLine="0"/>
      <w:spacing w:after="57"/>
    </w:pPr>
  </w:style>
  <w:style w:type="paragraph" w:styleId="1159">
    <w:name w:val="toc 3"/>
    <w:basedOn w:val="997"/>
    <w:next w:val="997"/>
    <w:uiPriority w:val="39"/>
    <w:unhideWhenUsed/>
    <w:pPr>
      <w:ind w:left="567" w:firstLine="0"/>
      <w:spacing w:after="57"/>
    </w:pPr>
  </w:style>
  <w:style w:type="paragraph" w:styleId="1160">
    <w:name w:val="toc 4"/>
    <w:basedOn w:val="997"/>
    <w:next w:val="997"/>
    <w:uiPriority w:val="39"/>
    <w:unhideWhenUsed/>
    <w:pPr>
      <w:ind w:left="850" w:firstLine="0"/>
      <w:spacing w:after="57"/>
    </w:pPr>
  </w:style>
  <w:style w:type="paragraph" w:styleId="1161">
    <w:name w:val="toc 5"/>
    <w:basedOn w:val="997"/>
    <w:next w:val="997"/>
    <w:uiPriority w:val="39"/>
    <w:unhideWhenUsed/>
    <w:pPr>
      <w:ind w:left="1134" w:firstLine="0"/>
      <w:spacing w:after="57"/>
    </w:pPr>
  </w:style>
  <w:style w:type="paragraph" w:styleId="1162">
    <w:name w:val="toc 6"/>
    <w:basedOn w:val="997"/>
    <w:next w:val="997"/>
    <w:uiPriority w:val="39"/>
    <w:unhideWhenUsed/>
    <w:pPr>
      <w:ind w:left="1417" w:firstLine="0"/>
      <w:spacing w:after="57"/>
    </w:pPr>
  </w:style>
  <w:style w:type="paragraph" w:styleId="1163">
    <w:name w:val="toc 7"/>
    <w:basedOn w:val="997"/>
    <w:next w:val="997"/>
    <w:uiPriority w:val="39"/>
    <w:unhideWhenUsed/>
    <w:pPr>
      <w:ind w:left="1701" w:firstLine="0"/>
      <w:spacing w:after="57"/>
    </w:pPr>
  </w:style>
  <w:style w:type="paragraph" w:styleId="1164">
    <w:name w:val="toc 8"/>
    <w:basedOn w:val="997"/>
    <w:next w:val="997"/>
    <w:uiPriority w:val="39"/>
    <w:unhideWhenUsed/>
    <w:pPr>
      <w:ind w:left="1984" w:firstLine="0"/>
      <w:spacing w:after="57"/>
    </w:pPr>
  </w:style>
  <w:style w:type="paragraph" w:styleId="1165">
    <w:name w:val="toc 9"/>
    <w:basedOn w:val="997"/>
    <w:next w:val="997"/>
    <w:uiPriority w:val="39"/>
    <w:unhideWhenUsed/>
    <w:pPr>
      <w:ind w:left="2268" w:firstLine="0"/>
      <w:spacing w:after="57"/>
    </w:pPr>
  </w:style>
  <w:style w:type="paragraph" w:styleId="1166">
    <w:name w:val="TOC Heading"/>
    <w:uiPriority w:val="39"/>
    <w:unhideWhenUsed/>
  </w:style>
  <w:style w:type="paragraph" w:styleId="1167">
    <w:name w:val="table of figures"/>
    <w:basedOn w:val="997"/>
    <w:next w:val="997"/>
    <w:uiPriority w:val="99"/>
    <w:unhideWhenUsed/>
  </w:style>
  <w:style w:type="paragraph" w:styleId="1168">
    <w:name w:val="Body Text 3"/>
    <w:basedOn w:val="997"/>
    <w:link w:val="1203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169">
    <w:name w:val="Header"/>
    <w:basedOn w:val="997"/>
    <w:link w:val="1226"/>
    <w:uiPriority w:val="99"/>
    <w:pPr>
      <w:tabs>
        <w:tab w:val="center" w:pos="4677" w:leader="none"/>
        <w:tab w:val="right" w:pos="9355" w:leader="none"/>
      </w:tabs>
    </w:pPr>
  </w:style>
  <w:style w:type="paragraph" w:styleId="1170">
    <w:name w:val="Body Text"/>
    <w:basedOn w:val="997"/>
    <w:pPr>
      <w:spacing w:after="120"/>
    </w:pPr>
  </w:style>
  <w:style w:type="paragraph" w:styleId="1171" w:customStyle="1">
    <w:name w:val="Style1"/>
    <w:basedOn w:val="99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172">
    <w:name w:val="Body Text 2"/>
    <w:basedOn w:val="99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173" w:customStyle="1">
    <w:name w:val="Знак"/>
    <w:basedOn w:val="99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4">
    <w:name w:val="footnote text"/>
    <w:basedOn w:val="997"/>
    <w:link w:val="1219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175">
    <w:name w:val="footnote reference"/>
    <w:uiPriority w:val="99"/>
    <w:rPr>
      <w:vertAlign w:val="superscript"/>
    </w:rPr>
  </w:style>
  <w:style w:type="table" w:styleId="1176">
    <w:name w:val="Table Grid"/>
    <w:basedOn w:val="1008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177" w:customStyle="1">
    <w:name w:val="Знак Знак Знак Знак Знак Знак Знак"/>
    <w:basedOn w:val="99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8" w:customStyle="1">
    <w:name w:val="Знак2"/>
    <w:basedOn w:val="99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9" w:customStyle="1">
    <w:name w:val="Знак Знак Знак Знак Знак Знак Знак Знак Знак"/>
    <w:basedOn w:val="99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180" w:customStyle="1">
    <w:name w:val="Пункт договора"/>
    <w:basedOn w:val="99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181" w:customStyle="1">
    <w:name w:val="Подпункт договора"/>
    <w:basedOn w:val="99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82">
    <w:name w:val="Body Text Indent 3"/>
    <w:basedOn w:val="997"/>
    <w:pPr>
      <w:ind w:left="283"/>
      <w:spacing w:after="120"/>
    </w:pPr>
    <w:rPr>
      <w:sz w:val="16"/>
      <w:szCs w:val="16"/>
    </w:rPr>
  </w:style>
  <w:style w:type="character" w:styleId="1183" w:customStyle="1">
    <w:name w:val="Заголовок 3 Знак"/>
    <w:link w:val="1000"/>
    <w:uiPriority w:val="9"/>
    <w:rPr>
      <w:b/>
      <w:sz w:val="28"/>
    </w:rPr>
  </w:style>
  <w:style w:type="paragraph" w:styleId="1184">
    <w:name w:val="List Paragraph"/>
    <w:basedOn w:val="997"/>
    <w:link w:val="1227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85" w:customStyle="1">
    <w:name w:val="1. Статья"/>
    <w:basedOn w:val="1000"/>
    <w:link w:val="1192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86" w:customStyle="1">
    <w:name w:val="2. Пункт"/>
    <w:basedOn w:val="100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87" w:customStyle="1">
    <w:name w:val="3. Подпункт"/>
    <w:basedOn w:val="1000"/>
    <w:link w:val="1188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88" w:customStyle="1">
    <w:name w:val="3. Подпункт Знак"/>
    <w:link w:val="1187"/>
    <w:rPr>
      <w:b/>
      <w:bCs/>
      <w:sz w:val="24"/>
      <w:szCs w:val="24"/>
    </w:rPr>
  </w:style>
  <w:style w:type="paragraph" w:styleId="118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90">
    <w:name w:val="Balloon Text"/>
    <w:basedOn w:val="997"/>
    <w:link w:val="1191"/>
    <w:pPr>
      <w:spacing w:line="240" w:lineRule="auto"/>
    </w:pPr>
    <w:rPr>
      <w:rFonts w:ascii="Tahoma" w:hAnsi="Tahoma"/>
      <w:sz w:val="16"/>
      <w:szCs w:val="16"/>
    </w:rPr>
  </w:style>
  <w:style w:type="character" w:styleId="1191" w:customStyle="1">
    <w:name w:val="Текст выноски Знак"/>
    <w:link w:val="1190"/>
    <w:rPr>
      <w:rFonts w:ascii="Tahoma" w:hAnsi="Tahoma" w:cs="Tahoma"/>
      <w:sz w:val="16"/>
      <w:szCs w:val="16"/>
    </w:rPr>
  </w:style>
  <w:style w:type="character" w:styleId="1192" w:customStyle="1">
    <w:name w:val="1. Статья Знак"/>
    <w:link w:val="1185"/>
    <w:rPr>
      <w:sz w:val="24"/>
      <w:szCs w:val="24"/>
    </w:rPr>
  </w:style>
  <w:style w:type="paragraph" w:styleId="1193" w:customStyle="1">
    <w:name w:val="4. Отчерк"/>
    <w:basedOn w:val="997"/>
    <w:link w:val="1194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194" w:customStyle="1">
    <w:name w:val="4. Отчерк Знак"/>
    <w:link w:val="1193"/>
    <w:rPr>
      <w:sz w:val="24"/>
      <w:szCs w:val="24"/>
    </w:rPr>
  </w:style>
  <w:style w:type="character" w:styleId="1195">
    <w:name w:val="annotation reference"/>
    <w:rPr>
      <w:sz w:val="16"/>
      <w:szCs w:val="16"/>
    </w:rPr>
  </w:style>
  <w:style w:type="paragraph" w:styleId="1196">
    <w:name w:val="annotation text"/>
    <w:basedOn w:val="997"/>
    <w:link w:val="1197"/>
    <w:pPr>
      <w:spacing w:line="240" w:lineRule="auto"/>
    </w:pPr>
    <w:rPr>
      <w:sz w:val="20"/>
      <w:szCs w:val="20"/>
    </w:rPr>
  </w:style>
  <w:style w:type="character" w:styleId="1197" w:customStyle="1">
    <w:name w:val="Текст примечания Знак"/>
    <w:link w:val="1196"/>
  </w:style>
  <w:style w:type="paragraph" w:styleId="1198">
    <w:name w:val="annotation subject"/>
    <w:basedOn w:val="1196"/>
    <w:next w:val="1196"/>
    <w:link w:val="1199"/>
    <w:rPr>
      <w:b/>
      <w:bCs/>
    </w:rPr>
  </w:style>
  <w:style w:type="character" w:styleId="1199" w:customStyle="1">
    <w:name w:val="Тема примечания Знак"/>
    <w:link w:val="1198"/>
    <w:rPr>
      <w:b/>
      <w:bCs/>
    </w:rPr>
  </w:style>
  <w:style w:type="paragraph" w:styleId="1200">
    <w:name w:val="Footer"/>
    <w:basedOn w:val="997"/>
    <w:link w:val="1201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201" w:customStyle="1">
    <w:name w:val="Нижний колонтитул Знак"/>
    <w:link w:val="1200"/>
    <w:uiPriority w:val="99"/>
    <w:rPr>
      <w:sz w:val="28"/>
      <w:szCs w:val="28"/>
    </w:rPr>
  </w:style>
  <w:style w:type="paragraph" w:styleId="1202">
    <w:name w:val="Revision"/>
    <w:hidden/>
    <w:uiPriority w:val="99"/>
    <w:semiHidden/>
    <w:rPr>
      <w:sz w:val="28"/>
      <w:szCs w:val="28"/>
    </w:rPr>
  </w:style>
  <w:style w:type="character" w:styleId="1203" w:customStyle="1">
    <w:name w:val="Основной текст 3 Знак"/>
    <w:link w:val="1168"/>
    <w:rPr>
      <w:color w:val="0000ff"/>
      <w:sz w:val="24"/>
      <w:szCs w:val="24"/>
      <w:lang w:eastAsia="en-US"/>
    </w:rPr>
  </w:style>
  <w:style w:type="paragraph" w:styleId="1204">
    <w:name w:val="Title"/>
    <w:basedOn w:val="997"/>
    <w:link w:val="1205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205" w:customStyle="1">
    <w:name w:val="Название Знак"/>
    <w:link w:val="1204"/>
    <w:rPr>
      <w:b/>
      <w:sz w:val="22"/>
      <w:szCs w:val="22"/>
      <w:shd w:val="clear" w:color="auto" w:fill="ffffff"/>
    </w:rPr>
  </w:style>
  <w:style w:type="character" w:styleId="1206" w:customStyle="1">
    <w:name w:val="Заголовок 1 Знак"/>
    <w:link w:val="998"/>
    <w:rPr>
      <w:rFonts w:ascii="Cambria" w:hAnsi="Cambria" w:eastAsia="Times New Roman" w:cs="Times New Roman"/>
      <w:b/>
      <w:bCs/>
      <w:sz w:val="32"/>
      <w:szCs w:val="32"/>
    </w:rPr>
  </w:style>
  <w:style w:type="character" w:styleId="1207" w:customStyle="1">
    <w:name w:val="Заголовок 2 Знак"/>
    <w:link w:val="99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208">
    <w:name w:val="Body Text Indent"/>
    <w:basedOn w:val="997"/>
    <w:link w:val="1209"/>
    <w:pPr>
      <w:ind w:left="283"/>
      <w:spacing w:after="120"/>
    </w:pPr>
  </w:style>
  <w:style w:type="character" w:styleId="1209" w:customStyle="1">
    <w:name w:val="Основной текст с отступом Знак"/>
    <w:link w:val="1208"/>
    <w:rPr>
      <w:sz w:val="28"/>
      <w:szCs w:val="28"/>
    </w:rPr>
  </w:style>
  <w:style w:type="paragraph" w:styleId="1210" w:customStyle="1">
    <w:name w:val="Пункт 3.3.3"/>
    <w:basedOn w:val="99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211" w:customStyle="1">
    <w:name w:val="Заглавие"/>
    <w:basedOn w:val="99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212">
    <w:name w:val="Caption"/>
    <w:basedOn w:val="997"/>
    <w:next w:val="997"/>
    <w:link w:val="1029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213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214" w:customStyle="1">
    <w:name w:val="Знак1"/>
    <w:basedOn w:val="99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15" w:customStyle="1">
    <w:name w:val="Контракт-раздел"/>
    <w:basedOn w:val="99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216" w:customStyle="1">
    <w:name w:val="Контракт-пункт"/>
    <w:basedOn w:val="997"/>
    <w:pPr>
      <w:numPr>
        <w:ilvl w:val="1"/>
        <w:numId w:val="4"/>
      </w:numPr>
    </w:pPr>
  </w:style>
  <w:style w:type="paragraph" w:styleId="1217" w:customStyle="1">
    <w:name w:val="Контракт-подпункт"/>
    <w:basedOn w:val="997"/>
    <w:pPr>
      <w:numPr>
        <w:ilvl w:val="2"/>
        <w:numId w:val="4"/>
      </w:numPr>
    </w:pPr>
  </w:style>
  <w:style w:type="paragraph" w:styleId="1218" w:customStyle="1">
    <w:name w:val="Контракт-подподпункт"/>
    <w:basedOn w:val="997"/>
    <w:pPr>
      <w:numPr>
        <w:ilvl w:val="3"/>
        <w:numId w:val="4"/>
      </w:numPr>
    </w:pPr>
  </w:style>
  <w:style w:type="character" w:styleId="1219" w:customStyle="1">
    <w:name w:val="Текст сноски Знак"/>
    <w:link w:val="1174"/>
    <w:uiPriority w:val="99"/>
  </w:style>
  <w:style w:type="character" w:styleId="1220">
    <w:name w:val="Hyperlink"/>
    <w:unhideWhenUsed/>
    <w:rPr>
      <w:color w:val="0000ff"/>
      <w:u w:val="single"/>
    </w:rPr>
  </w:style>
  <w:style w:type="paragraph" w:styleId="1221">
    <w:name w:val="endnote text"/>
    <w:basedOn w:val="997"/>
    <w:link w:val="1222"/>
    <w:uiPriority w:val="99"/>
    <w:semiHidden/>
    <w:unhideWhenUsed/>
    <w:rPr>
      <w:sz w:val="20"/>
      <w:szCs w:val="20"/>
    </w:rPr>
  </w:style>
  <w:style w:type="character" w:styleId="1222" w:customStyle="1">
    <w:name w:val="Текст концевой сноски Знак"/>
    <w:link w:val="1221"/>
    <w:uiPriority w:val="99"/>
    <w:semiHidden/>
  </w:style>
  <w:style w:type="character" w:styleId="1223">
    <w:name w:val="endnote reference"/>
    <w:uiPriority w:val="99"/>
    <w:semiHidden/>
    <w:unhideWhenUsed/>
    <w:rPr>
      <w:vertAlign w:val="superscript"/>
    </w:rPr>
  </w:style>
  <w:style w:type="paragraph" w:styleId="1224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225">
    <w:name w:val="FollowedHyperlink"/>
    <w:basedOn w:val="1007"/>
    <w:uiPriority w:val="99"/>
    <w:semiHidden/>
    <w:unhideWhenUsed/>
    <w:rPr>
      <w:color w:val="800080" w:themeColor="followedHyperlink"/>
      <w:u w:val="single"/>
    </w:rPr>
  </w:style>
  <w:style w:type="character" w:styleId="1226" w:customStyle="1">
    <w:name w:val="Верхний колонтитул Знак"/>
    <w:basedOn w:val="1007"/>
    <w:link w:val="1169"/>
    <w:uiPriority w:val="99"/>
    <w:rPr>
      <w:sz w:val="28"/>
      <w:szCs w:val="28"/>
    </w:rPr>
  </w:style>
  <w:style w:type="character" w:styleId="1227" w:customStyle="1">
    <w:name w:val="Абзац списка Знак"/>
    <w:link w:val="1184"/>
    <w:uiPriority w:val="34"/>
    <w:rPr>
      <w:sz w:val="24"/>
      <w:szCs w:val="24"/>
    </w:rPr>
  </w:style>
  <w:style w:type="paragraph" w:styleId="1228" w:customStyle="1">
    <w:name w:val="Абзац списка;Алроса_маркер (Уровень 4);Маркер;ПАРАГРАФ;Абзац списка2;Table-Normal;RSHB_Table-Normal;Заголовок_3;Подпись рисунка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8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29" w:customStyle="1">
    <w:name w:val="Текст сноски"/>
    <w:basedOn w:val="1212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230" w:customStyle="1">
    <w:name w:val="Знак сноски"/>
    <w:next w:val="1220"/>
    <w:link w:val="1212"/>
    <w:rPr>
      <w:vertAlign w:val="superscript"/>
    </w:rPr>
  </w:style>
  <w:style w:type="paragraph" w:styleId="1231" w:customStyle="1">
    <w:name w:val="Plain Text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hyperlink" Target="mailto:ld@rushydro.ru" TargetMode="External"/><Relationship Id="rId15" Type="http://schemas.openxmlformats.org/officeDocument/2006/relationships/hyperlink" Target="http://www.rushydro.ru/" TargetMode="External"/><Relationship Id="rId16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yperlink" Target="consultantplus://offline/ref=79440D5123ABA6A25F43346AB59DBAAC7032C8E1556DA64FAED62E167F76889C2B7C475C32EFC59BJ8rDH" TargetMode="External"/><Relationship Id="rId19" Type="http://schemas.openxmlformats.org/officeDocument/2006/relationships/comments" Target="comments.xml" /><Relationship Id="rId20" Type="http://schemas.microsoft.com/office/2011/relationships/commentsExtended" Target="commentsExtended.xml" /><Relationship Id="rId21" Type="http://schemas.microsoft.com/office/2018/08/relationships/commentsExtensible" Target="commentsExtensible.xml" /><Relationship Id="rId22" Type="http://schemas.microsoft.com/office/2016/09/relationships/commentsIds" Target="commentsIds.xml" /><Relationship Id="rId23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timoshenkova-ov</cp:lastModifiedBy>
  <cp:revision>121</cp:revision>
  <dcterms:created xsi:type="dcterms:W3CDTF">2023-03-13T22:43:00Z</dcterms:created>
  <dcterms:modified xsi:type="dcterms:W3CDTF">2026-02-04T23:52:17Z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